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5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537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317"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McCulloch Kevin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3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03/12/2026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48,894</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4.09</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1,777,721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03/12/2026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w:t>
            </w:r>
          </w:p>
        </w:tc>
        <w:tc>
          <w:tcPr>
            <w:tcW w:w="12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3.94</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1,777,725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25,000</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48,894</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12/10/2027</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48,894</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43,773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3.94</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4</w:t>
            </w: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08/26/2030</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92"/>
              <w:spacing w:after="0"/>
              <w:rPr>
                <w:sz w:val="20"/>
                <w:szCs w:val="20"/>
                <w:color w:val="auto"/>
              </w:rPr>
            </w:pPr>
            <w:r>
              <w:rPr>
                <w:rFonts w:ascii="Times New Roman" w:cs="Times New Roman" w:eastAsia="Times New Roman" w:hAnsi="Times New Roman"/>
                <w:sz w:val="17"/>
                <w:szCs w:val="17"/>
                <w:color w:val="0000FF"/>
              </w:rPr>
              <w:t>4</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3.94</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79,996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the stock options on December 10, 2020 pursuant to an award under the Company's 2018 Stock Option/Stock Issuance Plan (the "2018 Plan"). 50% of the options vested on the first anniversary of the vesting commencement date, and the remaining 50% of options vested on the second anniversary of the vesting commencement date, in each case subject to continued employment through such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the stock options on August 26, 2020 pursuant to an award under the 2018 Plan. 50% of the options vested on the first anniversary of the vesting commencement date, 25% of the options vested on the 18-month anniversary of the vesting commencement date, and the remaining 25% of options vested on the two-year anniversary of the vesting commencement date, in each case subject to continued employment through such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Operating Officer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1695"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2026-03-16T17:12:55Z</dcterms:created>
  <dcterms:modified xsi:type="dcterms:W3CDTF">2026-03-16T17:12:55Z</dcterms:modified>
</cp:coreProperties>
</file>