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June 30, 2026</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_______ to _______</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 001-40880</w:t>
            </w:r>
          </w:p>
        </w:tc>
      </w:tr>
    </w:tbl>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 xml:space="preserve">XERIS BIOPHARMA HOLDINGS, INC. </w:t>
      </w:r>
    </w:p>
    <w:p>
      <w:pPr>
        <w:pStyle w:val="TextBody"/>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(Exact name of the registrant as specified in its charter)</w:t>
      </w:r>
    </w:p>
    <w:tbl>
      <w:tblPr>
        <w:tblW w:w="8242" w:type="dxa"/>
        <w:jc w:val="center"/>
        <w:tblInd w:w="0" w:type="dxa"/>
        <w:tblLayout w:type="fixed"/>
        <w:tblCellMar>
          <w:top w:w="28" w:type="dxa"/>
          <w:left w:w="28" w:type="dxa"/>
          <w:bottom w:w="28" w:type="dxa"/>
          <w:right w:w="28" w:type="dxa"/>
        </w:tblCellMar>
      </w:tblPr>
      <w:tblGrid>
        <w:gridCol w:w="134"/>
        <w:gridCol w:w="118"/>
        <w:gridCol w:w="118"/>
        <w:gridCol w:w="522"/>
        <w:gridCol w:w="522"/>
        <w:gridCol w:w="522"/>
        <w:gridCol w:w="522"/>
        <w:gridCol w:w="522"/>
        <w:gridCol w:w="543"/>
        <w:gridCol w:w="484"/>
        <w:gridCol w:w="484"/>
        <w:gridCol w:w="486"/>
        <w:gridCol w:w="473"/>
        <w:gridCol w:w="473"/>
        <w:gridCol w:w="473"/>
        <w:gridCol w:w="473"/>
        <w:gridCol w:w="473"/>
        <w:gridCol w:w="501"/>
        <w:gridCol w:w="117"/>
        <w:gridCol w:w="117"/>
        <w:gridCol w:w="165"/>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87-1082097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1375 West Fulton Street, Suite 1300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Chicago, Illinois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60607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(844) 445-5704</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XERS</w:t>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r>
        <w:trPr/>
        <w:tc>
          <w:tcPr>
            <w:tcW w:w="370" w:type="dxa"/>
            <w:gridSpan w:val="3"/>
            <w:tcBorders/>
            <w:vAlign w:val="center"/>
          </w:tcPr>
          <w:p>
            <w:pPr>
              <w:pStyle w:val="TableContents"/>
              <w:bidi w:val="0"/>
              <w:spacing w:before="0" w:after="283"/>
              <w:jc w:val="left"/>
              <w:rPr>
                <w:sz w:val="4"/>
                <w:szCs w:val="4"/>
              </w:rPr>
            </w:pPr>
            <w:r>
              <w:rPr>
                <w:sz w:val="4"/>
                <w:szCs w:val="4"/>
              </w:rPr>
            </w:r>
          </w:p>
        </w:tc>
        <w:tc>
          <w:tcPr>
            <w:tcW w:w="7872" w:type="dxa"/>
            <w:gridSpan w:val="18"/>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6"/>
        <w:gridCol w:w="401"/>
        <w:gridCol w:w="401"/>
        <w:gridCol w:w="571"/>
        <w:gridCol w:w="401"/>
        <w:gridCol w:w="401"/>
        <w:gridCol w:w="401"/>
        <w:gridCol w:w="401"/>
        <w:gridCol w:w="401"/>
        <w:gridCol w:w="401"/>
        <w:gridCol w:w="401"/>
        <w:gridCol w:w="401"/>
        <w:gridCol w:w="579"/>
        <w:gridCol w:w="401"/>
        <w:gridCol w:w="401"/>
        <w:gridCol w:w="401"/>
        <w:gridCol w:w="401"/>
        <w:gridCol w:w="401"/>
        <w:gridCol w:w="401"/>
        <w:gridCol w:w="401"/>
        <w:gridCol w:w="401"/>
        <w:gridCol w:w="401"/>
        <w:gridCol w:w="401"/>
        <w:gridCol w:w="579"/>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9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2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584"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1203"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40" w:before="120" w:after="283"/>
              <w:jc w:val="left"/>
              <w:rPr/>
            </w:pPr>
            <w:r>
              <w:rPr>
                <w:rFonts w:ascii="Times New Roman;serif" w:hAnsi="Times New Roman;serif"/>
                <w:b w:val="false"/>
                <w:color w:val="000000"/>
                <w:sz w:val="16"/>
              </w:rPr>
              <w:t xml:space="preserve">Non-accelerated filer </w:t>
            </w:r>
            <w:r>
              <w:rPr>
                <w:color w:val="000000"/>
              </w:rPr>
              <w:t>☐</w:t>
            </w:r>
          </w:p>
        </w:tc>
        <w:tc>
          <w:tcPr>
            <w:tcW w:w="2584"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1203"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1203"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68" w:before="12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As of July 31, 2026, 182,320,306 shares, par value $0.0001 per share, of common stock were outstanding.</w:t>
      </w: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XERIS BIOPHARMA HOLDINGS,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Index to Quarterly Report on Form 10-Q</w:t>
      </w:r>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263"/>
        <w:gridCol w:w="231"/>
        <w:gridCol w:w="231"/>
        <w:gridCol w:w="359"/>
        <w:gridCol w:w="333"/>
        <w:gridCol w:w="309"/>
        <w:gridCol w:w="2662"/>
        <w:gridCol w:w="2603"/>
        <w:gridCol w:w="2713"/>
        <w:gridCol w:w="144"/>
        <w:gridCol w:w="144"/>
        <w:gridCol w:w="213"/>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7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31">
              <w:r>
                <w:rPr>
                  <w:rStyle w:val="InternetLink"/>
                  <w:rFonts w:ascii="Times New Roman;serif" w:hAnsi="Times New Roman;serif"/>
                  <w:b w:val="false"/>
                  <w:color w:val="0000FF"/>
                  <w:sz w:val="20"/>
                  <w:u w:val="single"/>
                </w:rPr>
                <w:t>Item 1. Financial Statements</w:t>
              </w:r>
            </w:hyperlink>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46">
              <w:r>
                <w:rPr>
                  <w:rStyle w:val="InternetLink"/>
                  <w:rFonts w:ascii="Times New Roman;serif" w:hAnsi="Times New Roman;serif"/>
                  <w:b w:val="false"/>
                  <w:color w:val="000080"/>
                  <w:sz w:val="20"/>
                  <w:u w:val="single"/>
                </w:rPr>
                <w:t xml:space="preserve">Condensed Consolidated Balance Sheets as of </w:t>
              </w:r>
            </w:hyperlink>
            <w:hyperlink w:anchor="ib4399c21b58040b88192f44e3dd21cd2_46">
              <w:r>
                <w:rPr>
                  <w:rStyle w:val="InternetLink"/>
                  <w:rFonts w:ascii="Times New Roman;serif" w:hAnsi="Times New Roman;serif"/>
                  <w:b w:val="false"/>
                  <w:color w:val="000080"/>
                  <w:sz w:val="20"/>
                  <w:u w:val="single"/>
                </w:rPr>
                <w:t>June</w:t>
              </w:r>
            </w:hyperlink>
            <w:hyperlink w:anchor="ib4399c21b58040b88192f44e3dd21cd2_46">
              <w:r>
                <w:rPr>
                  <w:rStyle w:val="InternetLink"/>
                  <w:rFonts w:ascii="Times New Roman;serif" w:hAnsi="Times New Roman;serif"/>
                  <w:b w:val="false"/>
                  <w:color w:val="000080"/>
                  <w:sz w:val="20"/>
                  <w:u w:val="single"/>
                </w:rPr>
                <w:t xml:space="preserve"> 3</w:t>
              </w:r>
            </w:hyperlink>
            <w:hyperlink w:anchor="ib4399c21b58040b88192f44e3dd21cd2_46">
              <w:r>
                <w:rPr>
                  <w:rStyle w:val="InternetLink"/>
                  <w:rFonts w:ascii="Times New Roman;serif" w:hAnsi="Times New Roman;serif"/>
                  <w:b w:val="false"/>
                  <w:color w:val="000080"/>
                  <w:sz w:val="20"/>
                  <w:u w:val="single"/>
                </w:rPr>
                <w:t>0</w:t>
              </w:r>
            </w:hyperlink>
            <w:hyperlink w:anchor="ib4399c21b58040b88192f44e3dd21cd2_46">
              <w:r>
                <w:rPr>
                  <w:rStyle w:val="InternetLink"/>
                  <w:rFonts w:ascii="Times New Roman;serif" w:hAnsi="Times New Roman;serif"/>
                  <w:b w:val="false"/>
                  <w:color w:val="000080"/>
                  <w:sz w:val="20"/>
                  <w:u w:val="single"/>
                </w:rPr>
                <w:t>, 2026 and December 31, 2025</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46">
              <w:r>
                <w:rPr>
                  <w:rStyle w:val="InternetLink"/>
                  <w:rFonts w:ascii="Times New Roman;serif" w:hAnsi="Times New Roman;serif"/>
                  <w:b w:val="false"/>
                  <w:strike w:val="false"/>
                  <w:dstrike w:val="false"/>
                  <w:color w:val="000000"/>
                  <w:sz w:val="20"/>
                  <w:u w:val="none"/>
                  <w:effect w:val="none"/>
                </w:rPr>
                <w:t>3</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52">
              <w:r>
                <w:rPr>
                  <w:rStyle w:val="InternetLink"/>
                  <w:rFonts w:ascii="Times New Roman;serif" w:hAnsi="Times New Roman;serif"/>
                  <w:b w:val="false"/>
                  <w:color w:val="000080"/>
                  <w:sz w:val="20"/>
                  <w:u w:val="single"/>
                </w:rPr>
                <w:t>Condensed Consolidated Statements of Operations and Comprehensive</w:t>
              </w:r>
            </w:hyperlink>
            <w:hyperlink w:anchor="ib4399c21b58040b88192f44e3dd21cd2_52">
              <w:r>
                <w:rPr>
                  <w:rStyle w:val="InternetLink"/>
                  <w:rFonts w:ascii="Times New Roman;serif" w:hAnsi="Times New Roman;serif"/>
                  <w:b w:val="false"/>
                  <w:color w:val="000080"/>
                  <w:sz w:val="20"/>
                  <w:u w:val="single"/>
                </w:rPr>
                <w:t xml:space="preserve"> </w:t>
              </w:r>
            </w:hyperlink>
            <w:hyperlink w:anchor="ib4399c21b58040b88192f44e3dd21cd2_52">
              <w:r>
                <w:rPr>
                  <w:rStyle w:val="InternetLink"/>
                  <w:rFonts w:ascii="Times New Roman;serif" w:hAnsi="Times New Roman;serif"/>
                  <w:b w:val="false"/>
                  <w:color w:val="000080"/>
                  <w:sz w:val="20"/>
                  <w:u w:val="single"/>
                </w:rPr>
                <w:t>Loss</w:t>
              </w:r>
            </w:hyperlink>
            <w:hyperlink w:anchor="ib4399c21b58040b88192f44e3dd21cd2_52">
              <w:r>
                <w:rPr>
                  <w:rStyle w:val="InternetLink"/>
                  <w:rFonts w:ascii="Times New Roman;serif" w:hAnsi="Times New Roman;serif"/>
                  <w:b w:val="false"/>
                  <w:color w:val="000080"/>
                  <w:sz w:val="20"/>
                  <w:u w:val="single"/>
                </w:rPr>
                <w:t xml:space="preserve"> for the three </w:t>
              </w:r>
            </w:hyperlink>
            <w:hyperlink w:anchor="ib4399c21b58040b88192f44e3dd21cd2_52">
              <w:r>
                <w:rPr>
                  <w:rStyle w:val="InternetLink"/>
                  <w:rFonts w:ascii="Times New Roman;serif" w:hAnsi="Times New Roman;serif"/>
                  <w:b w:val="false"/>
                  <w:color w:val="000080"/>
                  <w:sz w:val="20"/>
                  <w:u w:val="single"/>
                </w:rPr>
                <w:t xml:space="preserve">and six </w:t>
              </w:r>
            </w:hyperlink>
            <w:hyperlink w:anchor="ib4399c21b58040b88192f44e3dd21cd2_52">
              <w:r>
                <w:rPr>
                  <w:rStyle w:val="InternetLink"/>
                  <w:rFonts w:ascii="Times New Roman;serif" w:hAnsi="Times New Roman;serif"/>
                  <w:b w:val="false"/>
                  <w:color w:val="000080"/>
                  <w:sz w:val="20"/>
                  <w:u w:val="single"/>
                </w:rPr>
                <w:t xml:space="preserve">months ended </w:t>
              </w:r>
            </w:hyperlink>
            <w:hyperlink w:anchor="ib4399c21b58040b88192f44e3dd21cd2_52">
              <w:r>
                <w:rPr>
                  <w:rStyle w:val="InternetLink"/>
                  <w:rFonts w:ascii="Times New Roman;serif" w:hAnsi="Times New Roman;serif"/>
                  <w:b w:val="false"/>
                  <w:color w:val="000080"/>
                  <w:sz w:val="20"/>
                  <w:u w:val="single"/>
                </w:rPr>
                <w:t>June</w:t>
              </w:r>
            </w:hyperlink>
            <w:hyperlink w:anchor="ib4399c21b58040b88192f44e3dd21cd2_52">
              <w:r>
                <w:rPr>
                  <w:rStyle w:val="InternetLink"/>
                  <w:rFonts w:ascii="Times New Roman;serif" w:hAnsi="Times New Roman;serif"/>
                  <w:b w:val="false"/>
                  <w:color w:val="000080"/>
                  <w:sz w:val="20"/>
                  <w:u w:val="single"/>
                </w:rPr>
                <w:t xml:space="preserve"> 3</w:t>
              </w:r>
            </w:hyperlink>
            <w:hyperlink w:anchor="ib4399c21b58040b88192f44e3dd21cd2_52">
              <w:r>
                <w:rPr>
                  <w:rStyle w:val="InternetLink"/>
                  <w:rFonts w:ascii="Times New Roman;serif" w:hAnsi="Times New Roman;serif"/>
                  <w:b w:val="false"/>
                  <w:color w:val="000080"/>
                  <w:sz w:val="20"/>
                  <w:u w:val="single"/>
                </w:rPr>
                <w:t>0</w:t>
              </w:r>
            </w:hyperlink>
            <w:hyperlink w:anchor="ib4399c21b58040b88192f44e3dd21cd2_52">
              <w:r>
                <w:rPr>
                  <w:rStyle w:val="InternetLink"/>
                  <w:rFonts w:ascii="Times New Roman;serif" w:hAnsi="Times New Roman;serif"/>
                  <w:b w:val="false"/>
                  <w:color w:val="000080"/>
                  <w:sz w:val="20"/>
                  <w:u w:val="single"/>
                </w:rPr>
                <w:t>, 2026 and 2025</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52">
              <w:r>
                <w:rPr>
                  <w:rStyle w:val="InternetLink"/>
                  <w:rFonts w:ascii="Times New Roman;serif" w:hAnsi="Times New Roman;serif"/>
                  <w:b w:val="false"/>
                  <w:strike w:val="false"/>
                  <w:dstrike w:val="false"/>
                  <w:color w:val="000000"/>
                  <w:sz w:val="20"/>
                  <w:u w:val="none"/>
                  <w:effect w:val="none"/>
                </w:rPr>
                <w:t>4</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58">
              <w:r>
                <w:rPr>
                  <w:rStyle w:val="InternetLink"/>
                  <w:rFonts w:ascii="Times New Roman;serif" w:hAnsi="Times New Roman;serif"/>
                  <w:b w:val="false"/>
                  <w:color w:val="000080"/>
                  <w:sz w:val="20"/>
                  <w:u w:val="single"/>
                </w:rPr>
                <w:t>Condensed Consolidated Statements of Stockholders'</w:t>
              </w:r>
            </w:hyperlink>
            <w:hyperlink w:anchor="ib4399c21b58040b88192f44e3dd21cd2_58">
              <w:r>
                <w:rPr>
                  <w:rStyle w:val="InternetLink"/>
                  <w:rFonts w:ascii="Times New Roman;serif" w:hAnsi="Times New Roman;serif"/>
                  <w:b w:val="false"/>
                  <w:color w:val="000080"/>
                  <w:sz w:val="20"/>
                  <w:u w:val="single"/>
                </w:rPr>
                <w:t xml:space="preserve"> (Deficit) </w:t>
              </w:r>
            </w:hyperlink>
            <w:hyperlink w:anchor="ib4399c21b58040b88192f44e3dd21cd2_58">
              <w:r>
                <w:rPr>
                  <w:rStyle w:val="InternetLink"/>
                  <w:rFonts w:ascii="Times New Roman;serif" w:hAnsi="Times New Roman;serif"/>
                  <w:b w:val="false"/>
                  <w:color w:val="000080"/>
                  <w:sz w:val="20"/>
                  <w:u w:val="single"/>
                </w:rPr>
                <w:t xml:space="preserve">Equity </w:t>
              </w:r>
            </w:hyperlink>
            <w:hyperlink w:anchor="ib4399c21b58040b88192f44e3dd21cd2_58">
              <w:r>
                <w:rPr>
                  <w:rStyle w:val="InternetLink"/>
                  <w:rFonts w:ascii="Times New Roman;serif" w:hAnsi="Times New Roman;serif"/>
                  <w:b w:val="false"/>
                  <w:color w:val="000080"/>
                  <w:sz w:val="20"/>
                  <w:u w:val="single"/>
                </w:rPr>
                <w:t>for the three</w:t>
              </w:r>
            </w:hyperlink>
            <w:hyperlink w:anchor="ib4399c21b58040b88192f44e3dd21cd2_58">
              <w:r>
                <w:rPr>
                  <w:rStyle w:val="InternetLink"/>
                  <w:rFonts w:ascii="Times New Roman;serif" w:hAnsi="Times New Roman;serif"/>
                  <w:b w:val="false"/>
                  <w:color w:val="000080"/>
                  <w:sz w:val="20"/>
                  <w:u w:val="single"/>
                </w:rPr>
                <w:t xml:space="preserve"> and six</w:t>
              </w:r>
            </w:hyperlink>
            <w:hyperlink w:anchor="ib4399c21b58040b88192f44e3dd21cd2_58">
              <w:r>
                <w:rPr>
                  <w:rStyle w:val="InternetLink"/>
                  <w:rFonts w:ascii="Times New Roman;serif" w:hAnsi="Times New Roman;serif"/>
                  <w:b w:val="false"/>
                  <w:color w:val="000080"/>
                  <w:sz w:val="20"/>
                  <w:u w:val="single"/>
                </w:rPr>
                <w:t xml:space="preserve"> months ended </w:t>
              </w:r>
            </w:hyperlink>
            <w:hyperlink w:anchor="ib4399c21b58040b88192f44e3dd21cd2_58">
              <w:r>
                <w:rPr>
                  <w:rStyle w:val="InternetLink"/>
                  <w:rFonts w:ascii="Times New Roman;serif" w:hAnsi="Times New Roman;serif"/>
                  <w:b w:val="false"/>
                  <w:color w:val="000080"/>
                  <w:sz w:val="20"/>
                  <w:u w:val="single"/>
                </w:rPr>
                <w:t>June</w:t>
              </w:r>
            </w:hyperlink>
            <w:hyperlink w:anchor="ib4399c21b58040b88192f44e3dd21cd2_58">
              <w:r>
                <w:rPr>
                  <w:rStyle w:val="InternetLink"/>
                  <w:rFonts w:ascii="Times New Roman;serif" w:hAnsi="Times New Roman;serif"/>
                  <w:b w:val="false"/>
                  <w:color w:val="000080"/>
                  <w:sz w:val="20"/>
                  <w:u w:val="single"/>
                </w:rPr>
                <w:t xml:space="preserve"> 3</w:t>
              </w:r>
            </w:hyperlink>
            <w:hyperlink w:anchor="ib4399c21b58040b88192f44e3dd21cd2_58">
              <w:r>
                <w:rPr>
                  <w:rStyle w:val="InternetLink"/>
                  <w:rFonts w:ascii="Times New Roman;serif" w:hAnsi="Times New Roman;serif"/>
                  <w:b w:val="false"/>
                  <w:color w:val="000080"/>
                  <w:sz w:val="20"/>
                  <w:u w:val="single"/>
                </w:rPr>
                <w:t>0</w:t>
              </w:r>
            </w:hyperlink>
            <w:hyperlink w:anchor="ib4399c21b58040b88192f44e3dd21cd2_58">
              <w:r>
                <w:rPr>
                  <w:rStyle w:val="InternetLink"/>
                  <w:rFonts w:ascii="Times New Roman;serif" w:hAnsi="Times New Roman;serif"/>
                  <w:b w:val="false"/>
                  <w:color w:val="000080"/>
                  <w:sz w:val="20"/>
                  <w:u w:val="single"/>
                </w:rPr>
                <w:t>, 2026 and 2025</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58">
              <w:r>
                <w:rPr>
                  <w:rStyle w:val="InternetLink"/>
                  <w:rFonts w:ascii="Times New Roman;serif" w:hAnsi="Times New Roman;serif"/>
                  <w:b w:val="false"/>
                  <w:strike w:val="false"/>
                  <w:dstrike w:val="false"/>
                  <w:color w:val="000000"/>
                  <w:sz w:val="20"/>
                  <w:u w:val="none"/>
                  <w:effect w:val="none"/>
                </w:rPr>
                <w:t>5</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61">
              <w:r>
                <w:rPr>
                  <w:rStyle w:val="InternetLink"/>
                  <w:rFonts w:ascii="Times New Roman;serif" w:hAnsi="Times New Roman;serif"/>
                  <w:b w:val="false"/>
                  <w:color w:val="000080"/>
                  <w:sz w:val="20"/>
                  <w:u w:val="single"/>
                </w:rPr>
                <w:t xml:space="preserve">Condensed Consolidated Statements of Cash Flow for the </w:t>
              </w:r>
            </w:hyperlink>
            <w:hyperlink w:anchor="ib4399c21b58040b88192f44e3dd21cd2_61">
              <w:r>
                <w:rPr>
                  <w:rStyle w:val="InternetLink"/>
                  <w:rFonts w:ascii="Times New Roman;serif" w:hAnsi="Times New Roman;serif"/>
                  <w:b w:val="false"/>
                  <w:color w:val="000080"/>
                  <w:sz w:val="20"/>
                  <w:u w:val="single"/>
                </w:rPr>
                <w:t>s</w:t>
              </w:r>
            </w:hyperlink>
            <w:hyperlink w:anchor="ib4399c21b58040b88192f44e3dd21cd2_61">
              <w:r>
                <w:rPr>
                  <w:rStyle w:val="InternetLink"/>
                  <w:rFonts w:ascii="Times New Roman;serif" w:hAnsi="Times New Roman;serif"/>
                  <w:b w:val="false"/>
                  <w:color w:val="000080"/>
                  <w:sz w:val="20"/>
                  <w:u w:val="single"/>
                </w:rPr>
                <w:t>i</w:t>
              </w:r>
            </w:hyperlink>
            <w:hyperlink w:anchor="ib4399c21b58040b88192f44e3dd21cd2_61">
              <w:r>
                <w:rPr>
                  <w:rStyle w:val="InternetLink"/>
                  <w:rFonts w:ascii="Times New Roman;serif" w:hAnsi="Times New Roman;serif"/>
                  <w:b w:val="false"/>
                  <w:color w:val="000080"/>
                  <w:sz w:val="20"/>
                  <w:u w:val="single"/>
                </w:rPr>
                <w:t>x</w:t>
              </w:r>
            </w:hyperlink>
            <w:hyperlink w:anchor="ib4399c21b58040b88192f44e3dd21cd2_61">
              <w:r>
                <w:rPr>
                  <w:rStyle w:val="InternetLink"/>
                  <w:rFonts w:ascii="Times New Roman;serif" w:hAnsi="Times New Roman;serif"/>
                  <w:b w:val="false"/>
                  <w:color w:val="000080"/>
                  <w:sz w:val="20"/>
                  <w:u w:val="single"/>
                </w:rPr>
                <w:t xml:space="preserve"> months ended </w:t>
              </w:r>
            </w:hyperlink>
            <w:hyperlink w:anchor="ib4399c21b58040b88192f44e3dd21cd2_61">
              <w:r>
                <w:rPr>
                  <w:rStyle w:val="InternetLink"/>
                  <w:rFonts w:ascii="Times New Roman;serif" w:hAnsi="Times New Roman;serif"/>
                  <w:b w:val="false"/>
                  <w:color w:val="000080"/>
                  <w:sz w:val="20"/>
                  <w:u w:val="single"/>
                </w:rPr>
                <w:t>June 30</w:t>
              </w:r>
            </w:hyperlink>
            <w:hyperlink w:anchor="ib4399c21b58040b88192f44e3dd21cd2_61">
              <w:r>
                <w:rPr>
                  <w:rStyle w:val="InternetLink"/>
                  <w:rFonts w:ascii="Times New Roman;serif" w:hAnsi="Times New Roman;serif"/>
                  <w:b w:val="false"/>
                  <w:color w:val="000080"/>
                  <w:sz w:val="20"/>
                  <w:u w:val="single"/>
                </w:rPr>
                <w:t>, 2026 and 2025</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61">
              <w:r>
                <w:rPr>
                  <w:rStyle w:val="InternetLink"/>
                  <w:rFonts w:ascii="Times New Roman;serif" w:hAnsi="Times New Roman;serif"/>
                  <w:b w:val="false"/>
                  <w:strike w:val="false"/>
                  <w:dstrike w:val="false"/>
                  <w:color w:val="000000"/>
                  <w:sz w:val="20"/>
                  <w:u w:val="none"/>
                  <w:effect w:val="none"/>
                </w:rPr>
                <w:t>6</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67">
              <w:r>
                <w:rPr>
                  <w:rStyle w:val="InternetLink"/>
                  <w:rFonts w:ascii="Times New Roman;serif" w:hAnsi="Times New Roman;serif"/>
                  <w:b w:val="false"/>
                  <w:color w:val="0000FF"/>
                  <w:sz w:val="20"/>
                  <w:u w:val="single"/>
                </w:rPr>
                <w:t>Notes to Condensed Consolidated Financial Statements</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67">
              <w:r>
                <w:rPr>
                  <w:rStyle w:val="InternetLink"/>
                  <w:rFonts w:ascii="Times New Roman;serif" w:hAnsi="Times New Roman;serif"/>
                  <w:b w:val="false"/>
                  <w:strike w:val="false"/>
                  <w:dstrike w:val="false"/>
                  <w:color w:val="000000"/>
                  <w:sz w:val="20"/>
                  <w:u w:val="none"/>
                  <w:effect w:val="none"/>
                </w:rPr>
                <w:t>8</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16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163">
              <w:r>
                <w:rPr>
                  <w:rStyle w:val="InternetLink"/>
                  <w:rFonts w:ascii="Times New Roman;serif" w:hAnsi="Times New Roman;serif"/>
                  <w:b w:val="false"/>
                  <w:strike w:val="false"/>
                  <w:dstrike w:val="false"/>
                  <w:color w:val="000000"/>
                  <w:sz w:val="20"/>
                  <w:u w:val="none"/>
                  <w:effect w:val="none"/>
                </w:rPr>
                <w:t>21</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208">
              <w:r>
                <w:rPr>
                  <w:rStyle w:val="InternetLink"/>
                  <w:rFonts w:ascii="Times New Roman;serif" w:hAnsi="Times New Roman;serif"/>
                  <w:b w:val="false"/>
                  <w:color w:val="0000FF"/>
                  <w:sz w:val="20"/>
                  <w:u w:val="single"/>
                </w:rPr>
                <w:t>Item 3. Quantitative and Qualitative Disclosures About Market Risk</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208">
              <w:r>
                <w:rPr>
                  <w:rStyle w:val="InternetLink"/>
                  <w:rFonts w:ascii="Times New Roman;serif" w:hAnsi="Times New Roman;serif"/>
                  <w:b w:val="false"/>
                  <w:strike w:val="false"/>
                  <w:dstrike w:val="false"/>
                  <w:color w:val="000000"/>
                  <w:sz w:val="20"/>
                  <w:u w:val="none"/>
                  <w:effect w:val="none"/>
                </w:rPr>
                <w:t>28</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211">
              <w:r>
                <w:rPr>
                  <w:rStyle w:val="InternetLink"/>
                  <w:rFonts w:ascii="Times New Roman;serif" w:hAnsi="Times New Roman;serif"/>
                  <w:b w:val="false"/>
                  <w:color w:val="0000FF"/>
                  <w:sz w:val="20"/>
                  <w:u w:val="single"/>
                </w:rPr>
                <w:t>Item 4. Controls and Procedures</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center"/>
              <w:rPr/>
            </w:pPr>
            <w:hyperlink w:anchor="ib4399c21b58040b88192f44e3dd21cd2_211">
              <w:r>
                <w:rPr>
                  <w:rStyle w:val="InternetLink"/>
                  <w:rFonts w:ascii="Times New Roman;serif" w:hAnsi="Times New Roman;serif"/>
                  <w:b w:val="false"/>
                  <w:strike w:val="false"/>
                  <w:dstrike w:val="false"/>
                  <w:color w:val="000000"/>
                  <w:sz w:val="20"/>
                  <w:u w:val="none"/>
                  <w:effect w:val="none"/>
                </w:rPr>
                <w:t>28</w:t>
              </w:r>
            </w:hyperlink>
          </w:p>
        </w:tc>
      </w:tr>
      <w:tr>
        <w:trPr/>
        <w:tc>
          <w:tcPr>
            <w:tcW w:w="97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229">
              <w:r>
                <w:rPr>
                  <w:rStyle w:val="InternetLink"/>
                  <w:rFonts w:ascii="Times New Roman;serif" w:hAnsi="Times New Roman;serif"/>
                  <w:b w:val="false"/>
                  <w:color w:val="0000FF"/>
                  <w:sz w:val="20"/>
                  <w:u w:val="single"/>
                </w:rPr>
                <w:t>Item 1. Legal Proceedings</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229">
              <w:r>
                <w:rPr>
                  <w:rStyle w:val="InternetLink"/>
                  <w:rFonts w:ascii="Times New Roman;serif" w:hAnsi="Times New Roman;serif"/>
                  <w:b w:val="false"/>
                  <w:strike w:val="false"/>
                  <w:dstrike w:val="false"/>
                  <w:color w:val="000000"/>
                  <w:sz w:val="20"/>
                  <w:u w:val="none"/>
                  <w:effect w:val="none"/>
                </w:rPr>
                <w:t>29</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235">
              <w:r>
                <w:rPr>
                  <w:rStyle w:val="InternetLink"/>
                  <w:rFonts w:ascii="Times New Roman;serif" w:hAnsi="Times New Roman;serif"/>
                  <w:b w:val="false"/>
                  <w:color w:val="0000FF"/>
                  <w:sz w:val="20"/>
                  <w:u w:val="single"/>
                </w:rPr>
                <w:t>Item 1A. Risk Factors</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235">
              <w:r>
                <w:rPr>
                  <w:rStyle w:val="InternetLink"/>
                  <w:rFonts w:ascii="Times New Roman;serif" w:hAnsi="Times New Roman;serif"/>
                  <w:b w:val="false"/>
                  <w:strike w:val="false"/>
                  <w:dstrike w:val="false"/>
                  <w:color w:val="000000"/>
                  <w:sz w:val="20"/>
                  <w:u w:val="none"/>
                  <w:effect w:val="none"/>
                </w:rPr>
                <w:t>30</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238">
              <w:r>
                <w:rPr>
                  <w:rStyle w:val="InternetLink"/>
                  <w:rFonts w:ascii="Times New Roman;serif" w:hAnsi="Times New Roman;serif"/>
                  <w:b w:val="false"/>
                  <w:color w:val="0000FF"/>
                  <w:sz w:val="20"/>
                  <w:u w:val="single"/>
                </w:rPr>
                <w:t>Item 2. Unregistered Sales of Equity Securities and Use of Proceeds</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238">
              <w:r>
                <w:rPr>
                  <w:rStyle w:val="InternetLink"/>
                  <w:rFonts w:ascii="Times New Roman;serif" w:hAnsi="Times New Roman;serif"/>
                  <w:b w:val="false"/>
                  <w:strike w:val="false"/>
                  <w:dstrike w:val="false"/>
                  <w:color w:val="000000"/>
                  <w:sz w:val="20"/>
                  <w:u w:val="none"/>
                  <w:effect w:val="none"/>
                </w:rPr>
                <w:t>30</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241">
              <w:r>
                <w:rPr>
                  <w:rStyle w:val="InternetLink"/>
                  <w:rFonts w:ascii="Times New Roman;serif" w:hAnsi="Times New Roman;serif"/>
                  <w:b w:val="false"/>
                  <w:color w:val="0000FF"/>
                  <w:sz w:val="20"/>
                  <w:u w:val="single"/>
                </w:rPr>
                <w:t>Item 3. Defaults Upon Senior Securities</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241">
              <w:r>
                <w:rPr>
                  <w:rStyle w:val="InternetLink"/>
                  <w:rFonts w:ascii="Times New Roman;serif" w:hAnsi="Times New Roman;serif"/>
                  <w:b w:val="false"/>
                  <w:strike w:val="false"/>
                  <w:dstrike w:val="false"/>
                  <w:color w:val="000000"/>
                  <w:sz w:val="20"/>
                  <w:u w:val="none"/>
                  <w:effect w:val="none"/>
                </w:rPr>
                <w:t>30</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244">
              <w:r>
                <w:rPr>
                  <w:rStyle w:val="InternetLink"/>
                  <w:rFonts w:ascii="Times New Roman;serif" w:hAnsi="Times New Roman;serif"/>
                  <w:b w:val="false"/>
                  <w:color w:val="0000FF"/>
                  <w:sz w:val="20"/>
                  <w:u w:val="single"/>
                </w:rPr>
                <w:t>Item 4. Mine Safety Disclosures</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244">
              <w:r>
                <w:rPr>
                  <w:rStyle w:val="InternetLink"/>
                  <w:rFonts w:ascii="Times New Roman;serif" w:hAnsi="Times New Roman;serif"/>
                  <w:b w:val="false"/>
                  <w:strike w:val="false"/>
                  <w:dstrike w:val="false"/>
                  <w:color w:val="000000"/>
                  <w:sz w:val="20"/>
                  <w:u w:val="none"/>
                  <w:effect w:val="none"/>
                </w:rPr>
                <w:t>30</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247">
              <w:r>
                <w:rPr>
                  <w:rStyle w:val="InternetLink"/>
                  <w:rFonts w:ascii="Times New Roman;serif" w:hAnsi="Times New Roman;serif"/>
                  <w:b w:val="false"/>
                  <w:color w:val="0000FF"/>
                  <w:sz w:val="20"/>
                  <w:u w:val="single"/>
                </w:rPr>
                <w:t>Item 5. Other Information</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247">
              <w:r>
                <w:rPr>
                  <w:rStyle w:val="InternetLink"/>
                  <w:rFonts w:ascii="Times New Roman;serif" w:hAnsi="Times New Roman;serif"/>
                  <w:b w:val="false"/>
                  <w:strike w:val="false"/>
                  <w:dstrike w:val="false"/>
                  <w:color w:val="000000"/>
                  <w:sz w:val="20"/>
                  <w:u w:val="none"/>
                  <w:effect w:val="none"/>
                </w:rPr>
                <w:t>30</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292">
              <w:r>
                <w:rPr>
                  <w:rStyle w:val="InternetLink"/>
                  <w:rFonts w:ascii="Times New Roman;serif" w:hAnsi="Times New Roman;serif"/>
                  <w:b w:val="false"/>
                  <w:color w:val="0000FF"/>
                  <w:sz w:val="20"/>
                  <w:u w:val="single"/>
                </w:rPr>
                <w:t>Item 6. Exhibits</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292">
              <w:r>
                <w:rPr>
                  <w:rStyle w:val="InternetLink"/>
                  <w:rFonts w:ascii="Times New Roman;serif" w:hAnsi="Times New Roman;serif"/>
                  <w:b w:val="false"/>
                  <w:strike w:val="false"/>
                  <w:dstrike w:val="false"/>
                  <w:color w:val="000000"/>
                  <w:sz w:val="20"/>
                  <w:u w:val="none"/>
                  <w:effect w:val="none"/>
                </w:rPr>
                <w:t>31</w:t>
              </w:r>
            </w:hyperlink>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399c21b58040b88192f44e3dd21cd2_301">
              <w:r>
                <w:rPr>
                  <w:rStyle w:val="InternetLink"/>
                  <w:rFonts w:ascii="Times New Roman;serif" w:hAnsi="Times New Roman;serif"/>
                  <w:b w:val="false"/>
                  <w:color w:val="0000FF"/>
                  <w:sz w:val="20"/>
                  <w:u w:val="single"/>
                </w:rPr>
                <w:t>Signatures</w:t>
              </w:r>
            </w:hyperlink>
          </w:p>
        </w:tc>
        <w:tc>
          <w:tcPr>
            <w:tcW w:w="5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399c21b58040b88192f44e3dd21cd2_301">
              <w:r>
                <w:rPr>
                  <w:rStyle w:val="InternetLink"/>
                  <w:rFonts w:ascii="Times New Roman;serif" w:hAnsi="Times New Roman;serif"/>
                  <w:b w:val="false"/>
                  <w:strike w:val="false"/>
                  <w:dstrike w:val="false"/>
                  <w:color w:val="000000"/>
                  <w:sz w:val="20"/>
                  <w:u w:val="none"/>
                  <w:effect w:val="none"/>
                </w:rPr>
                <w:t>32</w:t>
              </w:r>
            </w:hyperlink>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Solely for convenience, the trademarks and trade names in this Quarterly Report on Form 10-Q (this "Quarterly Report") are referred to without the ® and ™ symbols, but absence of such references should not be construed as any indicator that their respective owners will not assert, to the fullest extent under applicable law, their rights thereto. The trademarks, trade names and service marks appearing in this Quarterly Report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par value)</w:t>
      </w:r>
    </w:p>
    <w:tbl>
      <w:tblPr>
        <w:tblW w:w="10205" w:type="dxa"/>
        <w:jc w:val="center"/>
        <w:tblInd w:w="0" w:type="dxa"/>
        <w:tblLayout w:type="fixed"/>
        <w:tblCellMar>
          <w:top w:w="28" w:type="dxa"/>
          <w:left w:w="28" w:type="dxa"/>
          <w:bottom w:w="28" w:type="dxa"/>
          <w:right w:w="28" w:type="dxa"/>
        </w:tblCellMar>
      </w:tblPr>
      <w:tblGrid>
        <w:gridCol w:w="2711"/>
        <w:gridCol w:w="2184"/>
        <w:gridCol w:w="2126"/>
        <w:gridCol w:w="626"/>
        <w:gridCol w:w="500"/>
        <w:gridCol w:w="295"/>
        <w:gridCol w:w="109"/>
        <w:gridCol w:w="109"/>
        <w:gridCol w:w="109"/>
        <w:gridCol w:w="556"/>
        <w:gridCol w:w="406"/>
        <w:gridCol w:w="474"/>
      </w:tblGrid>
      <w:tr>
        <w:trPr/>
        <w:tc>
          <w:tcPr>
            <w:tcW w:w="2711"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7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w:t>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51,050</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68,673</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240,313</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22,859</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88,078</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383,527</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33,155</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discounts and rebates</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43,253</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returns reserve</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w:t>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109,574</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debt issuance costs</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220,335</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31,531</w:t>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369,838</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36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360"/>
              <w:jc w:val="right"/>
              <w:rPr/>
            </w:pPr>
            <w:r>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 equity:</w:t>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stock—par value $0.0001, 25,000,000 shares authorized and no shares issued and outstanding as of June 30, 2026 and December 31, 2025</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stock—par value $0.0001, 350,000,000 shares authorized as of June 30, 2026 and December 31, 2025; 173,591,637 and 166,215,410 shares issued and outstanding as of June 30, 2026 and December 31, 2025, respectively</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 in capital </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685,004</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deficit </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(671,307)</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7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equity</w:t>
            </w:r>
          </w:p>
        </w:tc>
        <w:tc>
          <w:tcPr>
            <w:tcW w:w="1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13,689</w:t>
            </w:r>
          </w:p>
        </w:tc>
      </w:tr>
      <w:tr>
        <w:trPr/>
        <w:tc>
          <w:tcPr>
            <w:tcW w:w="7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383,527</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8"/>
        <w:gridCol w:w="1061"/>
        <w:gridCol w:w="1064"/>
        <w:gridCol w:w="264"/>
        <w:gridCol w:w="922"/>
        <w:gridCol w:w="112"/>
        <w:gridCol w:w="112"/>
        <w:gridCol w:w="112"/>
        <w:gridCol w:w="112"/>
        <w:gridCol w:w="268"/>
        <w:gridCol w:w="918"/>
        <w:gridCol w:w="112"/>
        <w:gridCol w:w="109"/>
        <w:gridCol w:w="109"/>
        <w:gridCol w:w="109"/>
        <w:gridCol w:w="241"/>
        <w:gridCol w:w="945"/>
        <w:gridCol w:w="109"/>
        <w:gridCol w:w="109"/>
        <w:gridCol w:w="109"/>
        <w:gridCol w:w="109"/>
        <w:gridCol w:w="241"/>
        <w:gridCol w:w="945"/>
        <w:gridCol w:w="109"/>
        <w:gridCol w:w="109"/>
        <w:gridCol w:w="157"/>
      </w:tblGrid>
      <w:tr>
        <w:trPr/>
        <w:tc>
          <w:tcPr>
            <w:tcW w:w="163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3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contract and other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Amortization of intangible assets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costs and expenses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operations </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debt extinguishment,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other expense </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(36,274)</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loss before income taxes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(31,101)</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loss</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(31,101)</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Comprehensive loss</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 basic and diluted</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172,823,455 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159,459,413 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171,679,686 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155,972,048 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18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XERIS BIOPHARMA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 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87"/>
        <w:gridCol w:w="303"/>
        <w:gridCol w:w="306"/>
        <w:gridCol w:w="109"/>
        <w:gridCol w:w="109"/>
        <w:gridCol w:w="109"/>
        <w:gridCol w:w="525"/>
        <w:gridCol w:w="526"/>
        <w:gridCol w:w="211"/>
        <w:gridCol w:w="109"/>
        <w:gridCol w:w="109"/>
        <w:gridCol w:w="109"/>
        <w:gridCol w:w="231"/>
        <w:gridCol w:w="390"/>
        <w:gridCol w:w="130"/>
        <w:gridCol w:w="109"/>
        <w:gridCol w:w="109"/>
        <w:gridCol w:w="109"/>
        <w:gridCol w:w="200"/>
        <w:gridCol w:w="754"/>
        <w:gridCol w:w="111"/>
        <w:gridCol w:w="109"/>
        <w:gridCol w:w="109"/>
        <w:gridCol w:w="109"/>
        <w:gridCol w:w="422"/>
        <w:gridCol w:w="746"/>
        <w:gridCol w:w="235"/>
        <w:gridCol w:w="109"/>
        <w:gridCol w:w="109"/>
        <w:gridCol w:w="109"/>
        <w:gridCol w:w="212"/>
        <w:gridCol w:w="819"/>
        <w:gridCol w:w="120"/>
        <w:gridCol w:w="109"/>
        <w:gridCol w:w="109"/>
        <w:gridCol w:w="109"/>
        <w:gridCol w:w="233"/>
        <w:gridCol w:w="789"/>
        <w:gridCol w:w="193"/>
      </w:tblGrid>
      <w:tr>
        <w:trPr/>
        <w:tc>
          <w:tcPr>
            <w:tcW w:w="78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 (Deficit)</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149,429,410 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642,256 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(671,861)</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(29,615)</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1,366,498 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2,255,124 shares withheld for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3,721,805 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in partial settlement of 2025 Convertible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1,045,752 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in settlement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156,014,050 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645,962 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(681,081)</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(35,128)</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315,724 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170,442 shares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in settlement of 2025 Convertible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3,932,399 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through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161,224,762 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663,713 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(683,009)</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(19,304)</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87"/>
        <w:gridCol w:w="303"/>
        <w:gridCol w:w="306"/>
        <w:gridCol w:w="109"/>
        <w:gridCol w:w="109"/>
        <w:gridCol w:w="109"/>
        <w:gridCol w:w="525"/>
        <w:gridCol w:w="526"/>
        <w:gridCol w:w="211"/>
        <w:gridCol w:w="109"/>
        <w:gridCol w:w="109"/>
        <w:gridCol w:w="109"/>
        <w:gridCol w:w="231"/>
        <w:gridCol w:w="390"/>
        <w:gridCol w:w="130"/>
        <w:gridCol w:w="109"/>
        <w:gridCol w:w="109"/>
        <w:gridCol w:w="109"/>
        <w:gridCol w:w="200"/>
        <w:gridCol w:w="754"/>
        <w:gridCol w:w="111"/>
        <w:gridCol w:w="109"/>
        <w:gridCol w:w="109"/>
        <w:gridCol w:w="109"/>
        <w:gridCol w:w="422"/>
        <w:gridCol w:w="746"/>
        <w:gridCol w:w="235"/>
        <w:gridCol w:w="109"/>
        <w:gridCol w:w="109"/>
        <w:gridCol w:w="109"/>
        <w:gridCol w:w="212"/>
        <w:gridCol w:w="819"/>
        <w:gridCol w:w="120"/>
        <w:gridCol w:w="109"/>
        <w:gridCol w:w="109"/>
        <w:gridCol w:w="109"/>
        <w:gridCol w:w="237"/>
        <w:gridCol w:w="782"/>
        <w:gridCol w:w="196"/>
      </w:tblGrid>
      <w:tr>
        <w:trPr/>
        <w:tc>
          <w:tcPr>
            <w:tcW w:w="78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 (Deficit)</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166,215,410 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685,004 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(671,307)</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13,689 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2,314,943 shares withheld for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3,808,125 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in settlement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2,275,313 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172,558,783 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682,090 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(669,073)</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(31,101)</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(31,101)</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248,124 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31,690 shares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in settlement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173,591,637 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690,432 </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(700,174)</w:t>
            </w:r>
          </w:p>
        </w:tc>
        <w:tc>
          <w:tcPr>
            <w:tcW w:w="1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(9,734)</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307"/>
        <w:gridCol w:w="1911"/>
        <w:gridCol w:w="1917"/>
        <w:gridCol w:w="109"/>
        <w:gridCol w:w="109"/>
        <w:gridCol w:w="148"/>
        <w:gridCol w:w="148"/>
        <w:gridCol w:w="148"/>
        <w:gridCol w:w="148"/>
        <w:gridCol w:w="288"/>
        <w:gridCol w:w="1129"/>
        <w:gridCol w:w="148"/>
        <w:gridCol w:w="109"/>
        <w:gridCol w:w="109"/>
        <w:gridCol w:w="109"/>
        <w:gridCol w:w="211"/>
        <w:gridCol w:w="779"/>
        <w:gridCol w:w="109"/>
        <w:gridCol w:w="109"/>
        <w:gridCol w:w="160"/>
      </w:tblGrid>
      <w:tr>
        <w:trPr/>
        <w:tc>
          <w:tcPr>
            <w:tcW w:w="230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695" w:type="dxa"/>
            <w:gridSpan w:val="8"/>
            <w:tcBorders/>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discount and debt issuance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1bcf580f304a4a40a4e7d7c1c1228abd_21-5-1"/>
            <w:bookmarkEnd w:id="0"/>
            <w:r>
              <w:rPr>
                <w:rFonts w:ascii="Times New Roman;serif" w:hAnsi="Times New Roman;serif"/>
                <w:b w:val="false"/>
                <w:color w:val="000000"/>
                <w:sz w:val="20"/>
              </w:rPr>
              <w:t>(7,055)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discounts and rebates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returns reserve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54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18,133 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54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54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employee stock purchase plan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shares in settlement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54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115,063 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125,768 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Supplemental schedule of cash flow information</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schedule of non-cash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to settle of 2025 Convertible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35"/>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There were no income taxes paid or refunds for the </w:t>
      </w:r>
      <w:r>
        <w:rPr>
          <w:rFonts w:ascii="Times New Roman;serif" w:hAnsi="Times New Roman;serif"/>
          <w:b w:val="false"/>
          <w:color w:val="000000"/>
          <w:sz w:val="20"/>
        </w:rPr>
        <w:t>six months ended</w:t>
      </w:r>
      <w:r>
        <w:rPr>
          <w:color w:val="000000"/>
        </w:rPr>
        <w:t xml:space="preserve"> </w:t>
      </w:r>
      <w:r>
        <w:rPr>
          <w:rFonts w:ascii="Times New Roman;serif" w:hAnsi="Times New Roman;serif"/>
          <w:b w:val="false"/>
          <w:color w:val="000000"/>
          <w:sz w:val="18"/>
        </w:rPr>
        <w:t>June 30, 2026 and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agrees to the same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611"/>
        <w:gridCol w:w="2241"/>
        <w:gridCol w:w="2247"/>
        <w:gridCol w:w="109"/>
        <w:gridCol w:w="109"/>
        <w:gridCol w:w="109"/>
        <w:gridCol w:w="211"/>
        <w:gridCol w:w="826"/>
        <w:gridCol w:w="109"/>
        <w:gridCol w:w="109"/>
        <w:gridCol w:w="109"/>
        <w:gridCol w:w="109"/>
        <w:gridCol w:w="211"/>
        <w:gridCol w:w="721"/>
        <w:gridCol w:w="109"/>
        <w:gridCol w:w="109"/>
        <w:gridCol w:w="156"/>
      </w:tblGrid>
      <w:tr>
        <w:trPr/>
        <w:tc>
          <w:tcPr>
            <w:tcW w:w="261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7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included in Other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condensed consolidated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These restricted cash items are primarily security deposits in the form of letters of credit for the Company to secure certain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Note 1. Organization and Business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Nature of Business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Xeris Biopharma Holdings, Inc. ("Xeris," "Xeris Biopharma" or the "Company") is a commercial-stage biopharmaceutical company focused on developing and commercializing therapies for people with chronic endocrine and neurological diseases in the United States. The Company offers Recorlev for the treatment of Cushing’s syndrome, Gvoke for the treatment of severe hypoglycemia, and Keveyis for the treatment of Primary Periodic Paralysis ("PPP"). The Company leverages its proprietary formulation technologies (XeriSol and XeriJect) in the creation of new products such as its own XP-8121 (once-weekly subcutaneous (SC) levothyroxine) as well as through the formation of development partnerships with other biopharmaceutical companies.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Throughout this document, unless otherwise noted, references to Gvoke include Gvoke PFS, Gvoke HypoPen, and Gvoke Kit (glucagon).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relies on a number of single source suppliers and manufacturers for the supply of its products and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2. Basis of presentation and summary of significant accounting policies and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are unaudited and have been prepared in accordance with accounting principles generally accepted in the United States of America ("GAAP"), including those for interim financial information, and with the instructions for Quarterly Reports on Form 10-Q and Article 10 of Regulation S-X issued by the U.S. Securities and Exchange Commission (the "SEC").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condensed consolidated financial statements reflect all adjustments, consisting only of normal recurring adjustments, considered necessary for a fair presentation of the Company's financial position, results of operations and cash flows for the periods presented. The results of operations for such periods are not necessarily indicative of the results that may be expected for any future period. The accompanying financial statements should be read in conjunction with the audited financial statements and the related notes thereto for the year ended December 31, 2025 included in the Company's Annual Report on Form 10-K filed with the SEC on March 6, 2026.</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and disclosures normally included in the annual financial statements prepared in accordance with GAAP, but that is not required for interim reporting purposes, have been condensed or omitted.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reference in these notes to applicable guidance is meant to refer to GAAP as found in the Accounting Standards Codification ("ASC") and Accounting Standards Update ("ASU") issued by the Financial Accounting Standards Board ("FASB").</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include the financial statements of Xeris and its subsidiaries. All intercompany transactions have been eliminated.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liabilities, revenues and expenses included in the financial statements and accompanying notes. Actual results could differ from those estimates.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120"/>
        <w:jc w:val="both"/>
        <w:rPr/>
      </w:pPr>
      <w:r>
        <w:rPr>
          <w:rFonts w:ascii="Times New Roman;serif" w:hAnsi="Times New Roman;serif"/>
          <w:b w:val="false"/>
          <w:color w:val="000000"/>
          <w:sz w:val="20"/>
        </w:rPr>
        <w:t xml:space="preserve">The Company applies the guidance in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to all contracts with customers within the scope of the standard. </w:t>
      </w:r>
    </w:p>
    <w:p>
      <w:pPr>
        <w:pStyle w:val="TextBody"/>
        <w:bidi w:val="0"/>
        <w:spacing w:lineRule="auto" w:line="25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sells product primarily to wholesalers or a specialty pharmacy that subsequently resell to retail pharmacies or patients. The Company enters into arrangements with payors, group purchasing organizations, and healthcare providers that provide for government-mandated or privately-negotiated rebates, chargebacks and discounts related to the Company's products. The Company currently sells Recorlev, Gvoke, and Keveyis in the United States only.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the Company's customer (e.g., a wholesaler or specialty pharmacy) obtains control of promised goods or services, which is when the Company's obligations under the terms of the contract with the customer are satisfied, based on the consideration the Company expects to receive in exchange for those goods or services.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are recorded at the net product sales price, which includes estimated allowances for patient copay assistance programs, prompt payment discounts, payor rebates, chargebacks, service fees, and product returns, all of which are recorded at the time of sale to the pharmaceutical wholesaler or other customer. The Company applies significant judgments and estimates in determining some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allowances. If actual results differ from its estimates, adjustments are made to these allowances in the period in which the actual results or updates to estimates become known.</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Such revenue is reported as product revenue, net in the condensed consolidated statements of operations and comprehensive loss.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the Company earns revenue from research collaborations for the use of Xeris' proprietary formulation technology platforms and royalties from branded products. Such revenue is recognized as earned in accordance with contract terms when it can be reasonably estimated and collectability is reasonably assured. This revenue is reported as royalty, contract and other revenue in the condensed consolidated statements of operations and comprehensive loss. The aggregate amount of the transaction price allocated to research collaboration performance obligations that are unsatisfied as of the end of the reporting period is $5.0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four customers accounted for 99% and 98% of the Company's gross product revenue, respectively. For the three and six months ended June 30, 2025, four customers accounted for 96% of the Company's gross product revenue. At June 30, 2026 and December 31, 2025, the same four customers accounted for 97% and 92% of the trade accounts receivable, net,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68" w:before="120" w:after="120"/>
        <w:jc w:val="both"/>
        <w:rPr/>
      </w:pPr>
      <w:r>
        <w:rPr>
          <w:rFonts w:ascii="Times New Roman;serif" w:hAnsi="Times New Roman;serif"/>
          <w:b w:val="false"/>
          <w:i/>
          <w:color w:val="000000"/>
          <w:sz w:val="20"/>
        </w:rPr>
        <w:t>Adopted accounting standards</w:t>
      </w:r>
      <w:r>
        <w:rPr>
          <w:color w:val="000000"/>
        </w:rPr>
        <w:t xml:space="preserve"> </w:t>
      </w:r>
    </w:p>
    <w:p>
      <w:pPr>
        <w:pStyle w:val="TextBody"/>
        <w:bidi w:val="0"/>
        <w:spacing w:lineRule="auto" w:line="268" w:before="120" w:after="120"/>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 Debt with Conversion and Other Options (Subtopic 470-20) - Induced Conversions of Convertible Debt Instruments</w:t>
      </w:r>
      <w:r>
        <w:rPr>
          <w:rFonts w:ascii="Times New Roman;serif" w:hAnsi="Times New Roman;serif"/>
          <w:b w:val="false"/>
          <w:color w:val="000000"/>
          <w:sz w:val="20"/>
        </w:rPr>
        <w:t xml:space="preserve">. The FASB issued final guidance to clarify the requirements for determining whether to account for certain early settlements of convertible debt instruments as induced conversions. The guidance, which is based on a consensus-for-exposure of the Emerging Issues Task Force (EITF), is intended to address issues that stakeholders encountered when applying the guidance on induced conversions in Accounting Standards Codification (ASC or Codification) 470-20, </w:t>
      </w:r>
      <w:r>
        <w:rPr>
          <w:rFonts w:ascii="Times New Roman;serif" w:hAnsi="Times New Roman;serif"/>
          <w:b w:val="false"/>
          <w:i/>
          <w:color w:val="000000"/>
          <w:sz w:val="20"/>
        </w:rPr>
        <w:t>Debt — Debt with Conversion and Other Options</w:t>
      </w:r>
      <w:r>
        <w:rPr>
          <w:rFonts w:ascii="Times New Roman;serif" w:hAnsi="Times New Roman;serif"/>
          <w:b w:val="false"/>
          <w:color w:val="000000"/>
          <w:sz w:val="20"/>
        </w:rPr>
        <w:t>, to certain settlements of cash convertible debt instruments. For all entities, the guidance is effective for fiscal years beginning after December 15, 2025, and interim reporting periods within those fiscal years. Early adoption is permitted for all entities that have adopted ASU 2020-06, which simplified an issuer’s accounting for certain financial instruments with characteristics of liabilities and equity. The Company adopted this standard in the first quarter of 2026 and it did not have an immediate impact on the Company's Financial Statements and related disclosures.</w:t>
      </w:r>
    </w:p>
    <w:p>
      <w:pPr>
        <w:pStyle w:val="TextBody"/>
        <w:bidi w:val="0"/>
        <w:spacing w:lineRule="auto" w:line="268" w:before="120" w:after="120"/>
        <w:jc w:val="both"/>
        <w:rPr/>
      </w:pPr>
      <w:r>
        <w:rPr>
          <w:rFonts w:ascii="Times New Roman;serif" w:hAnsi="Times New Roman;serif"/>
          <w:b w:val="false"/>
          <w:i/>
          <w:color w:val="000000"/>
          <w:sz w:val="20"/>
        </w:rPr>
        <w:t>Pending accounting standards</w:t>
      </w:r>
      <w:r>
        <w:rPr>
          <w:color w:val="000000"/>
        </w:rPr>
        <w:t xml:space="preserve"> </w:t>
      </w:r>
    </w:p>
    <w:p>
      <w:pPr>
        <w:pStyle w:val="TextBody"/>
        <w:bidi w:val="0"/>
        <w:spacing w:lineRule="auto" w:line="26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all PBEs for fiscal years beginning after December 15, 2026, and interim periods within fiscal years beginning after December 15, 2027. Early adoption is permitted. The Company is evaluating the timing and effects of the adoption of this standard on the Company's disclosures.</w:t>
      </w:r>
    </w:p>
    <w:p>
      <w:pPr>
        <w:pStyle w:val="TextBody"/>
        <w:bidi w:val="0"/>
        <w:spacing w:lineRule="auto" w:line="268" w:before="0" w:after="0"/>
        <w:jc w:val="both"/>
        <w:rPr/>
      </w:pPr>
      <w:r>
        <w:rPr>
          <w:rFonts w:ascii="Times New Roman;serif" w:hAnsi="Times New Roman;serif"/>
          <w:b w:val="false"/>
          <w:color w:val="000000"/>
          <w:sz w:val="20"/>
        </w:rPr>
        <w:t xml:space="preserve">In January 2025, the FASB issued ASU 2025-01, </w:t>
      </w:r>
      <w:r>
        <w:rPr>
          <w:rFonts w:ascii="Times New Roman;serif" w:hAnsi="Times New Roman;serif"/>
          <w:b w:val="false"/>
          <w:i/>
          <w:color w:val="000000"/>
          <w:sz w:val="20"/>
        </w:rPr>
        <w:t>Income Statement-Reporting Comprehensive Income-Expense Disaggregation Disclosures (Topic 220).</w:t>
      </w:r>
      <w:r>
        <w:rPr>
          <w:color w:val="000000"/>
        </w:rPr>
        <w:t xml:space="preserve"> </w:t>
      </w:r>
      <w:r>
        <w:rPr>
          <w:rFonts w:ascii="Times New Roman;serif" w:hAnsi="Times New Roman;serif"/>
          <w:b w:val="false"/>
          <w:color w:val="000000"/>
          <w:sz w:val="20"/>
        </w:rPr>
        <w:t xml:space="preserve">This standard clarifies the effective date of ASU 2024-03 to annual reporting periods beginning after December 15, 2026, and interim reporting periods within annual reporting periods beginning after December 15, 2027. The Company is evaluating the timing and effects of the adoption of this standard on the Company's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3. Disaggregated Revenue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Disaggregated revenue by product (in thousands):</w:t>
      </w:r>
    </w:p>
    <w:tbl>
      <w:tblPr>
        <w:tblW w:w="9186" w:type="dxa"/>
        <w:jc w:val="left"/>
        <w:tblInd w:w="0" w:type="dxa"/>
        <w:tblLayout w:type="fixed"/>
        <w:tblCellMar>
          <w:top w:w="28" w:type="dxa"/>
          <w:left w:w="28" w:type="dxa"/>
          <w:bottom w:w="28" w:type="dxa"/>
          <w:right w:w="28" w:type="dxa"/>
        </w:tblCellMar>
      </w:tblPr>
      <w:tblGrid>
        <w:gridCol w:w="1095"/>
        <w:gridCol w:w="965"/>
        <w:gridCol w:w="970"/>
        <w:gridCol w:w="109"/>
        <w:gridCol w:w="109"/>
        <w:gridCol w:w="109"/>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09"/>
        <w:gridCol w:w="109"/>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Recorlev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Gvoke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Keveyis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91,004 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67,708 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173,458 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contract and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92,100 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71,539 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175,227 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131,658 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4. Inventory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inventory consist of the following (in thousands): </w:t>
      </w:r>
    </w:p>
    <w:tbl>
      <w:tblPr>
        <w:tblW w:w="4796" w:type="dxa"/>
        <w:jc w:val="left"/>
        <w:tblInd w:w="0" w:type="dxa"/>
        <w:tblLayout w:type="fixed"/>
        <w:tblCellMar>
          <w:top w:w="28" w:type="dxa"/>
          <w:left w:w="28" w:type="dxa"/>
          <w:bottom w:w="28" w:type="dxa"/>
          <w:right w:w="28" w:type="dxa"/>
        </w:tblCellMar>
      </w:tblPr>
      <w:tblGrid>
        <w:gridCol w:w="516"/>
        <w:gridCol w:w="453"/>
        <w:gridCol w:w="456"/>
        <w:gridCol w:w="258"/>
        <w:gridCol w:w="883"/>
        <w:gridCol w:w="133"/>
        <w:gridCol w:w="109"/>
        <w:gridCol w:w="109"/>
        <w:gridCol w:w="109"/>
        <w:gridCol w:w="344"/>
        <w:gridCol w:w="1175"/>
        <w:gridCol w:w="25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42,053 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80,930 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68,673 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reserves were $13.7 million and $7.6 million at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 of the following (in thousands): </w:t>
      </w:r>
    </w:p>
    <w:tbl>
      <w:tblPr>
        <w:tblW w:w="7480" w:type="dxa"/>
        <w:jc w:val="left"/>
        <w:tblInd w:w="0" w:type="dxa"/>
        <w:tblLayout w:type="fixed"/>
        <w:tblCellMar>
          <w:top w:w="28" w:type="dxa"/>
          <w:left w:w="28" w:type="dxa"/>
          <w:bottom w:w="28" w:type="dxa"/>
          <w:right w:w="28" w:type="dxa"/>
        </w:tblCellMar>
      </w:tblPr>
      <w:tblGrid>
        <w:gridCol w:w="1486"/>
        <w:gridCol w:w="1309"/>
        <w:gridCol w:w="1315"/>
        <w:gridCol w:w="287"/>
        <w:gridCol w:w="839"/>
        <w:gridCol w:w="148"/>
        <w:gridCol w:w="109"/>
        <w:gridCol w:w="109"/>
        <w:gridCol w:w="109"/>
        <w:gridCol w:w="380"/>
        <w:gridCol w:w="1110"/>
        <w:gridCol w:w="279"/>
      </w:tblGrid>
      <w:tr>
        <w:trPr/>
        <w:tc>
          <w:tcPr>
            <w:tcW w:w="148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13,122 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 net</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the Company recognized depreciation and amortization expense relating to property and equipment of $0.4 million and $0.3 million, respectively. For the six months ended June 30, 2026 and 2025, the Company recognized depreciation and amortization expense relating to property and equipment of $0.7 million and $0.6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6. Intangible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Identified intangible assets consist of the following (in thousands):</w:t>
      </w:r>
    </w:p>
    <w:tbl>
      <w:tblPr>
        <w:tblW w:w="10205" w:type="dxa"/>
        <w:jc w:val="left"/>
        <w:tblInd w:w="0" w:type="dxa"/>
        <w:tblLayout w:type="fixed"/>
        <w:tblCellMar>
          <w:top w:w="28" w:type="dxa"/>
          <w:left w:w="28" w:type="dxa"/>
          <w:bottom w:w="28" w:type="dxa"/>
          <w:right w:w="28" w:type="dxa"/>
        </w:tblCellMar>
      </w:tblPr>
      <w:tblGrid>
        <w:gridCol w:w="642"/>
        <w:gridCol w:w="564"/>
        <w:gridCol w:w="566"/>
        <w:gridCol w:w="238"/>
        <w:gridCol w:w="238"/>
        <w:gridCol w:w="239"/>
        <w:gridCol w:w="211"/>
        <w:gridCol w:w="826"/>
        <w:gridCol w:w="109"/>
        <w:gridCol w:w="295"/>
        <w:gridCol w:w="1034"/>
        <w:gridCol w:w="154"/>
        <w:gridCol w:w="211"/>
        <w:gridCol w:w="721"/>
        <w:gridCol w:w="109"/>
        <w:gridCol w:w="109"/>
        <w:gridCol w:w="109"/>
        <w:gridCol w:w="109"/>
        <w:gridCol w:w="211"/>
        <w:gridCol w:w="826"/>
        <w:gridCol w:w="109"/>
        <w:gridCol w:w="295"/>
        <w:gridCol w:w="1034"/>
        <w:gridCol w:w="154"/>
        <w:gridCol w:w="211"/>
        <w:gridCol w:w="721"/>
        <w:gridCol w:w="160"/>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Life (Years)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assets</w:t>
            </w:r>
          </w:p>
        </w:tc>
        <w:tc>
          <w:tcPr>
            <w:tcW w:w="1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assets</w:t>
            </w:r>
          </w:p>
        </w:tc>
        <w:tc>
          <w:tcPr>
            <w:tcW w:w="1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 - Keveyis</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 - Recorlev</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88,078 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expected amortization expense for intangible assets subject to amortization for the next five years and thereafter is as follows (in thousands):</w:t>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7. Other Accrued Liabilities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liabilities consist of the following (in thousands): </w:t>
      </w:r>
    </w:p>
    <w:tbl>
      <w:tblPr>
        <w:tblW w:w="6775" w:type="dxa"/>
        <w:jc w:val="left"/>
        <w:tblInd w:w="0" w:type="dxa"/>
        <w:tblLayout w:type="fixed"/>
        <w:tblCellMar>
          <w:top w:w="28" w:type="dxa"/>
          <w:left w:w="28" w:type="dxa"/>
          <w:bottom w:w="28" w:type="dxa"/>
          <w:right w:w="28" w:type="dxa"/>
        </w:tblCellMar>
      </w:tblPr>
      <w:tblGrid>
        <w:gridCol w:w="1235"/>
        <w:gridCol w:w="1081"/>
        <w:gridCol w:w="1088"/>
        <w:gridCol w:w="258"/>
        <w:gridCol w:w="883"/>
        <w:gridCol w:w="133"/>
        <w:gridCol w:w="109"/>
        <w:gridCol w:w="109"/>
        <w:gridCol w:w="109"/>
        <w:gridCol w:w="344"/>
        <w:gridCol w:w="1175"/>
        <w:gridCol w:w="251"/>
      </w:tblGrid>
      <w:tr>
        <w:trPr/>
        <w:tc>
          <w:tcPr>
            <w:tcW w:w="123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costs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Accrued interest expense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supply chain costs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costs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Accrued other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33,155 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debt are as follows (in thousands):</w:t>
      </w:r>
    </w:p>
    <w:tbl>
      <w:tblPr>
        <w:tblW w:w="8770" w:type="dxa"/>
        <w:jc w:val="left"/>
        <w:tblInd w:w="0" w:type="dxa"/>
        <w:tblLayout w:type="fixed"/>
        <w:tblCellMar>
          <w:top w:w="28" w:type="dxa"/>
          <w:left w:w="28" w:type="dxa"/>
          <w:bottom w:w="28" w:type="dxa"/>
          <w:right w:w="28" w:type="dxa"/>
        </w:tblCellMar>
      </w:tblPr>
      <w:tblGrid>
        <w:gridCol w:w="1958"/>
        <w:gridCol w:w="1718"/>
        <w:gridCol w:w="1724"/>
        <w:gridCol w:w="234"/>
        <w:gridCol w:w="919"/>
        <w:gridCol w:w="121"/>
        <w:gridCol w:w="109"/>
        <w:gridCol w:w="109"/>
        <w:gridCol w:w="109"/>
        <w:gridCol w:w="313"/>
        <w:gridCol w:w="1228"/>
        <w:gridCol w:w="228"/>
      </w:tblGrid>
      <w:tr>
        <w:trPr/>
        <w:tc>
          <w:tcPr>
            <w:tcW w:w="195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Loan agreement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188,768 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Debt, net of unamortized debt issuance costs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252,590 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220,335 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 current portion</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 non-current portion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unamortized debt issuance costs</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252,590 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220,335 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the Company completed the exchange of $32.0 million in aggregate principal amount of its then outstanding Convertible Notes due 2025 ("2025 Convertible Notes") or $33.6 million in aggregate principal amount of new 8.00% Convertible Notes due 2028 (the "2028 Convertible Notes").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and April of 2025, holders of all outstanding 2025 Convertible Notes, totaling $15.2 million in aggregate principal amount, were converted by the noteholders into 4,978,151 shares of the Company's common stock.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2028 Convertible Notes were senior, unsecured obligations and are equal in right of payment with the issuer's existing and future senior, unsecured indebtedness, senior in right of payment to its future indebtedness, if any, that is expressly subordinated to the 2028 Convertible Notes, and effectively subordinated to its existing and future secured indebtedness to the extent of the value of the collateral securing that indebtedness. The 2028 Convertible Notes were structurally subordinated to all existing and future indebtedness and other liabilities, including trade payables, and (to the extent the Company or Xeris Pharma is not a holder thereof) preferred equity, if any, of the Company's direct and indirect subsidiaries other than Xeris Pharma.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any time before the close of business on the second scheduled trading day immediately before the maturity date, holders of the then outstanding 2028 Convertible Notes had the option to convert their 2028 Convertible Notes into shares of the Company's common stock, together, if applicable, with cash in lieu of any fractional share, at a conversion rate of 326.7974 shares of the Company's common stock per $1,000 principal amount of 2028 Convertible Notes, subject to adjustment in certain circumstances.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Company executed an exchange agreement to enable settlement in cash of $23.0 million in aggregate principal outstanding with certain holders of their 2028 Convertible Notes. Execution of this exchange agreement resulted in recognition of an extinguishment loss of $30.8 million, which represents the difference between the amortized cost of this component of the 2028 Convertible Notes immediately prior to the exchange and their fair value of $53.7 million. As of June 30, 2026, the outstanding aggregate principal amount of the 2028 Convertible Notes was $33.6 million, which includes the $10.5 million of the holders that did not participate in the exchange agreement. The remaining balance of unamortized debt issuance costs have been reflected as a direct reduction to the loan balance. The effective interest rate of the 2028 Convertible Notes, including the amortization of debt issuance costs was 8.9%.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the Company settled its obligations with the noteholders of the 2028 Convertible Notes, after which no notes remain outstanding. The settlement was completed by issuing 8.6 million shares of the Company's common stock and $23.0 million of cash.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2028 Convertible Notes is determined using current interest rates based on credit ratings and the remaining term of maturity. As of June 30, 2026, the fair value of the 2028 Convertible Notes was approximately $92.2 million. The fair value of the convertible debt was estimated using inputs for volatility, the Company's stock price, time to maturity, the risk-free rate and the Company's credit spread, some of which are considered Level 3 inputs in the fair value hierarchy disclosed in "Note 10 - Fair value measurement."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Loan Agreement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5, 2024, the Company and certain subsidiary guarantors of the Company entered into an Amended and Restated Credit Agreement and Guaranty (the "Amended and Restated Credit Agreement") with the lenders from time to time parties thereto (the "Lenders") and Hayfin Services LLP, as administrative agent for the Lenders, pursuant to which the Company and its subsidiaries party thereto granted a first priority security interest on substantially all of their assets, including intellectual property, subject to certain exceptions. The Amended and Restated Credit Agreement amends and restates in its entirety the Credit Agreement dated March 8, 2022, between the Company, Xeris Pharma, and certain subsidiary guarantors of the Company and Hayfin Services, LLP, as administrative agent for the lenders ("Credit Agreement"). The Amended and Restated Credit Agreement provided for the Lenders to extend $200.0 million in term loans (the "Tranche 1 Loans") to Xeris Pharma on the closing date and $15.2 million in additional term loans (the "Tranche 2 Loans" and, together with the Tranche 1 Loans, the "2029 Loans") on any date after the closing date and through July 15, 2025. The Tranche 2 Loans were only to be used to redeem the then outstanding 2025 Convertible Notes. The Company did not borrow any funds under the Tranche 2 Loans, which expired on July 15, 2025. In conjunction with the execution of the Amended and Restated Credit Agreement, the aggregate principal balance of $150.0 million plus all accrued and unpaid interest outstanding under the Credit Agreement was continued under the Amended and Restated Credit Agreement as Tranche 1 Loans. In addition to utilizing the proceeds to repay the obligations under the Credit Agreement in full, the proceeds of the Tranche 1 Loans are being used for general corporate purposes. After repayment, the 2029 Loans may not be re-borrowed. The 2029 Loans will mature on March 5, 2029.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2029 Loans incur interest at a floating per annum rate in an amount equal to the sum of (i) 6.95% (or 5.95% if the replacement rate is in effect) plus (ii) the greater of (x) the forward-looking term rate based on SOFR for a three month tenor (or the replacement rate, if applicable), and (y) 2.00% per annum. The remaining balance of unamortized debt issuance costs have been reflected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direct reduction to the loan balance. The effective interest rate of the 2029 Loans, including the amortization of debt discount and debt issuance costs, amounts to approximately 11.4%. As of June 30, 2026, the fair value of the loan approximates its book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Amended and Restated Credit Agreement allows Xeris Pharma to voluntarily prepay the outstanding amounts thereunder. Xeris Pharma is subject to an early prepayment fee equal to (i) for any prepayment that occurs on or prior to the second anniversary of the closing date, the applicable make-whole amount, (ii) for any prepayment that occurs after the second anniversary of the closing date but on or prior to the fourth anniversary of the closing date, the product of (x) the amount of any principal so prepaid, multiplied by (y) for any prepayment that occurs (A) after the second anniversary of the closing date and on or prior to the third anniversary of the closing date, five percent (5.00%), (B) after the third anniversary of the closing date and on or prior to the fourth anniversary of the closing date, three percent (3.00%), and (C) after the fourth anniversary of the closing date, zero percent (0.00%).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Amended and Restated Credit Agreement contains customary representations and warranties, events of default and affirmative and negative covenants, including, among others, covenants that limit or restrict the Company's (and its subsidiaries) ability to incur additional indebtedness, grant liens, merge or consolidate, make acquisitions, pay dividends or other distributions or repurchase equity, make investments, dispose of assets and enter into certain transactions with affiliates, in each case subject to certain exceptions.</w:t>
      </w:r>
    </w:p>
    <w:p>
      <w:pPr>
        <w:pStyle w:val="TextBody"/>
        <w:bidi w:val="0"/>
        <w:spacing w:lineRule="auto" w:line="288" w:before="120" w:after="120"/>
        <w:jc w:val="both"/>
        <w:rPr/>
      </w:pPr>
      <w:r>
        <w:rPr>
          <w:rFonts w:ascii="Times New Roman;serif" w:hAnsi="Times New Roman;serif"/>
          <w:b w:val="false"/>
          <w:color w:val="000000"/>
          <w:sz w:val="20"/>
        </w:rPr>
        <w:t xml:space="preserve">The Amended and Restated Credit Agreement was accounted for as a modification of debt in accordance with ASC 470-50, </w:t>
      </w:r>
      <w:r>
        <w:rPr>
          <w:rFonts w:ascii="Times New Roman;serif" w:hAnsi="Times New Roman;serif"/>
          <w:b w:val="false"/>
          <w:i/>
          <w:color w:val="000000"/>
          <w:sz w:val="20"/>
        </w:rPr>
        <w:t>Debt - Modifications and Extinguishments</w:t>
      </w:r>
      <w:r>
        <w:rPr>
          <w:rFonts w:ascii="Times New Roman;serif" w:hAnsi="Times New Roman;serif"/>
          <w:b w:val="false"/>
          <w:color w:val="000000"/>
          <w:sz w:val="20"/>
        </w:rPr>
        <w:t>, thus there was no gain or loss recognized on the transaction.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future minimum principal payments on the 2028 Convertible Notes and the 2029 Loans (in thousands): </w:t>
      </w:r>
    </w:p>
    <w:tbl>
      <w:tblPr>
        <w:tblW w:w="2137" w:type="dxa"/>
        <w:jc w:val="left"/>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233,574 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the Company recognized interest expense of $6.9 million and $7.4 million, respectively, of which $0.9 million and $0.8 million, respectively, related to the amortization of debt discount and issuance costs, respectively. For the six months ended June 30, 2026 and 2025, the Company recognized interest expense of $13.8 million and $14.7 million, respectively, of which $1.8 million and $1.7 million, respectively, related to the amortization of debt discount and issuance costs,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9. Warrants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following equity classified warrants were outstanding:</w:t>
      </w:r>
    </w:p>
    <w:tbl>
      <w:tblPr>
        <w:tblW w:w="10205" w:type="dxa"/>
        <w:jc w:val="left"/>
        <w:tblInd w:w="0" w:type="dxa"/>
        <w:tblLayout w:type="fixed"/>
        <w:tblCellMar>
          <w:top w:w="28" w:type="dxa"/>
          <w:left w:w="28" w:type="dxa"/>
          <w:bottom w:w="28" w:type="dxa"/>
          <w:right w:w="28" w:type="dxa"/>
        </w:tblCellMar>
      </w:tblPr>
      <w:tblGrid>
        <w:gridCol w:w="1717"/>
        <w:gridCol w:w="1499"/>
        <w:gridCol w:w="1510"/>
        <w:gridCol w:w="626"/>
        <w:gridCol w:w="626"/>
        <w:gridCol w:w="628"/>
        <w:gridCol w:w="740"/>
        <w:gridCol w:w="740"/>
        <w:gridCol w:w="742"/>
        <w:gridCol w:w="401"/>
        <w:gridCol w:w="401"/>
        <w:gridCol w:w="575"/>
      </w:tblGrid>
      <w:tr>
        <w:trPr/>
        <w:tc>
          <w:tcPr>
            <w:tcW w:w="171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Warrants classified as equities:</w:t>
            </w:r>
          </w:p>
        </w:tc>
        <w:tc>
          <w:tcPr>
            <w:tcW w:w="188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Outstanding Warrants</w:t>
            </w:r>
          </w:p>
        </w:tc>
        <w:tc>
          <w:tcPr>
            <w:tcW w:w="2222"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Exercise Price per Warrant</w:t>
            </w:r>
          </w:p>
        </w:tc>
        <w:tc>
          <w:tcPr>
            <w:tcW w:w="137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Expiration</w:t>
            </w:r>
          </w:p>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in connection with Horizon and Oxford loan agreement</w:t>
            </w:r>
          </w:p>
        </w:tc>
        <w:tc>
          <w:tcPr>
            <w:tcW w:w="1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125,999</w:t>
            </w:r>
          </w:p>
        </w:tc>
        <w:tc>
          <w:tcPr>
            <w:tcW w:w="22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$3.130</w:t>
            </w:r>
          </w:p>
        </w:tc>
        <w:tc>
          <w:tcPr>
            <w:tcW w:w="13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issued an aggregate of 2,275,313 shares of its common stock pursuant to a notice of cash exercise of all warrants held by Armistice Capital for an aggregate purchase price of $7.3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Company issued an aggregate of 263,158 shares of its common stock pursuant to a notice of cash exercise of all warrants held by Hayfin for an aggregate purchase price of $0.6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Note 10. Fair Value Measurements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the price that would be received to sell an asset or paid to transfer a liability in an orderly transaction between market participants at the measurement date. Fair value measurements are classified and disclosed in one of the following categories: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Level 1: Measured using unadjusted quoted prices in active markets that are accessible at the measurement date for identical, unrestricted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Level 2: Measured using quoted prices in active markets for similar assets or liabilities, quoted prices for identical or similar assets or liabilities in markets that are not active, or inputs, other than quoted prices in active markets, that are observable either directly or indirectly.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Level 3: Measured based on prices or valuation models that require inputs that are both significant to the fair value measurement and less observable from objective sources (i.e., supported by little or no market activity).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stated below considers the market for the financial assets and liabilities, the associated credit risk and other factors as required. The Company considers active markets as those in which transactions for the assets or liabilities occur in sufficient frequency and volume to provide pricing information on an ongoing basis.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fair value hierarchy for those assets and liabilities measured at fair value as of June 30, 2026 and December 31, 2025 (in thousands):</w:t>
      </w:r>
    </w:p>
    <w:tbl>
      <w:tblPr>
        <w:tblW w:w="8105" w:type="dxa"/>
        <w:jc w:val="left"/>
        <w:tblInd w:w="0" w:type="dxa"/>
        <w:tblLayout w:type="fixed"/>
        <w:tblCellMar>
          <w:top w:w="28" w:type="dxa"/>
          <w:left w:w="28" w:type="dxa"/>
          <w:bottom w:w="28" w:type="dxa"/>
          <w:right w:w="28" w:type="dxa"/>
        </w:tblCellMar>
      </w:tblPr>
      <w:tblGrid>
        <w:gridCol w:w="1035"/>
        <w:gridCol w:w="910"/>
        <w:gridCol w:w="919"/>
        <w:gridCol w:w="109"/>
        <w:gridCol w:w="109"/>
        <w:gridCol w:w="109"/>
        <w:gridCol w:w="234"/>
        <w:gridCol w:w="919"/>
        <w:gridCol w:w="121"/>
        <w:gridCol w:w="109"/>
        <w:gridCol w:w="109"/>
        <w:gridCol w:w="109"/>
        <w:gridCol w:w="211"/>
        <w:gridCol w:w="826"/>
        <w:gridCol w:w="109"/>
        <w:gridCol w:w="109"/>
        <w:gridCol w:w="109"/>
        <w:gridCol w:w="109"/>
        <w:gridCol w:w="213"/>
        <w:gridCol w:w="411"/>
        <w:gridCol w:w="110"/>
        <w:gridCol w:w="109"/>
        <w:gridCol w:w="109"/>
        <w:gridCol w:w="109"/>
        <w:gridCol w:w="213"/>
        <w:gridCol w:w="411"/>
        <w:gridCol w:w="155"/>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Total as of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tbl>
      <w:tblPr>
        <w:tblW w:w="9501" w:type="dxa"/>
        <w:jc w:val="center"/>
        <w:tblInd w:w="0" w:type="dxa"/>
        <w:tblLayout w:type="fixed"/>
        <w:tblCellMar>
          <w:top w:w="28" w:type="dxa"/>
          <w:left w:w="28" w:type="dxa"/>
          <w:bottom w:w="28" w:type="dxa"/>
          <w:right w:w="28" w:type="dxa"/>
        </w:tblCellMar>
      </w:tblPr>
      <w:tblGrid>
        <w:gridCol w:w="1035"/>
        <w:gridCol w:w="910"/>
        <w:gridCol w:w="919"/>
        <w:gridCol w:w="109"/>
        <w:gridCol w:w="109"/>
        <w:gridCol w:w="109"/>
        <w:gridCol w:w="491"/>
        <w:gridCol w:w="1925"/>
        <w:gridCol w:w="254"/>
        <w:gridCol w:w="109"/>
        <w:gridCol w:w="109"/>
        <w:gridCol w:w="109"/>
        <w:gridCol w:w="211"/>
        <w:gridCol w:w="826"/>
        <w:gridCol w:w="109"/>
        <w:gridCol w:w="109"/>
        <w:gridCol w:w="109"/>
        <w:gridCol w:w="109"/>
        <w:gridCol w:w="213"/>
        <w:gridCol w:w="411"/>
        <w:gridCol w:w="110"/>
        <w:gridCol w:w="109"/>
        <w:gridCol w:w="109"/>
        <w:gridCol w:w="109"/>
        <w:gridCol w:w="213"/>
        <w:gridCol w:w="411"/>
        <w:gridCol w:w="155"/>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11. Stock Compensation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2018 Stock Option and Incentive Plan (the "2018 Plan") was adopted by the Board of Directors in April 2018 and approved by the Company's stockholders in June 2018. The 2018 Plan replaced the 2011 Plan as the Board of Directors decided not to make additional awards under the 2011 Stock Option Issuance Plan (the "2011 Plan"). Under the 2018 Plan, equity awards may be granted to the Company's officers, employees, directors, consultants and advisors. As of June 30, 2026, there were 10.8 million shares of common stock available for future issuance under the 2018 Plan.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2018 Employee Stock Purchase Plan (as amended, the "ESPP") was adopted by the Board of Directors in April 2018, approved by the Company's stockholders in June 2018, and subsequently amended by the Company's stockholders in June 2024. The ESPP permits eligible employees to authorize payroll deductions of up to 15% of their compensation to purchase up to the number of shares of common stock determined by dividing $25,000 by the closing market price of Xeris common stock on the offering date. The purchase price per share at each purchase date is equal to 85% of the lower of (i) the closing market price per share of Xeris common stock on the employee's offering date or (ii) the closing market price per share of Xeris common stock on the purchase date. Each offering period has a six-month duration and purchase interval. As of June 30, 2026, there were 5.7 million shares available for issuance under the ESPP.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Equity Inducement Plan (the "Inducement Plan") was adopted by the Board of Directors in February 2019. Under the Inducement Plan, the Company may grant share-based awards to individuals who were not previously employees, or following a bona fide period of nonemployment, as an inducement to such individuals entering into employment with the Company. As of June 30, 2026, there were 0.5 million shares of common stock available for future issuance under the Inducement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Assumed Plans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shares reserved for future grants under the legacy equity incentive plans of Strongbridge, including the Strongbridge 2015 equity compensation plan and Strongbridge 2017 inducement plan (collectively, the "Assumed Plans").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 options are granted with an exercise price equal to the market price of the Company's common stock at the date of grant. Stock option awards typically vest over three years after the grant date and expire seven to ten years from the grant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 activity under the 2011 Plan, 2018 Plan, Inducement Plan and Assumed Plans for the six months ended June 30, 2026: </w:t>
      </w:r>
    </w:p>
    <w:tbl>
      <w:tblPr>
        <w:tblW w:w="10205" w:type="dxa"/>
        <w:jc w:val="left"/>
        <w:tblInd w:w="0" w:type="dxa"/>
        <w:tblLayout w:type="fixed"/>
        <w:tblCellMar>
          <w:top w:w="28" w:type="dxa"/>
          <w:left w:w="28" w:type="dxa"/>
          <w:bottom w:w="28" w:type="dxa"/>
          <w:right w:w="28" w:type="dxa"/>
        </w:tblCellMar>
      </w:tblPr>
      <w:tblGrid>
        <w:gridCol w:w="663"/>
        <w:gridCol w:w="582"/>
        <w:gridCol w:w="585"/>
        <w:gridCol w:w="569"/>
        <w:gridCol w:w="473"/>
        <w:gridCol w:w="390"/>
        <w:gridCol w:w="109"/>
        <w:gridCol w:w="109"/>
        <w:gridCol w:w="109"/>
        <w:gridCol w:w="582"/>
        <w:gridCol w:w="582"/>
        <w:gridCol w:w="584"/>
        <w:gridCol w:w="109"/>
        <w:gridCol w:w="109"/>
        <w:gridCol w:w="109"/>
        <w:gridCol w:w="734"/>
        <w:gridCol w:w="734"/>
        <w:gridCol w:w="736"/>
        <w:gridCol w:w="109"/>
        <w:gridCol w:w="109"/>
        <w:gridCol w:w="109"/>
        <w:gridCol w:w="586"/>
        <w:gridCol w:w="586"/>
        <w:gridCol w:w="838"/>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millions)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2025</w:t>
            </w:r>
          </w:p>
        </w:tc>
        <w:tc>
          <w:tcPr>
            <w:tcW w:w="10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5,309,859 </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2,484,456 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(508,059)</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(24,324)</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(194,680)</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June 30, 2026</w:t>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7,067,252 </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 June 30, 2026</w:t>
            </w:r>
          </w:p>
        </w:tc>
        <w:tc>
          <w:tcPr>
            <w:tcW w:w="10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4,607,120 </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Intrinsic value for stock options is defined as the difference between the current market value of the Company's common stock and the exercise price.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 options value assumptions:</w:t>
      </w:r>
    </w:p>
    <w:tbl>
      <w:tblPr>
        <w:tblW w:w="4304" w:type="dxa"/>
        <w:jc w:val="left"/>
        <w:tblInd w:w="0" w:type="dxa"/>
        <w:tblLayout w:type="fixed"/>
        <w:tblCellMar>
          <w:top w:w="28" w:type="dxa"/>
          <w:left w:w="28" w:type="dxa"/>
          <w:bottom w:w="28" w:type="dxa"/>
          <w:right w:w="28" w:type="dxa"/>
        </w:tblCellMar>
      </w:tblPr>
      <w:tblGrid>
        <w:gridCol w:w="951"/>
        <w:gridCol w:w="835"/>
        <w:gridCol w:w="839"/>
        <w:gridCol w:w="490"/>
        <w:gridCol w:w="490"/>
        <w:gridCol w:w="699"/>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81.1%</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 stock options were granted during the six months ended June 30,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$11.5 million of unrecognized stock-based compensation expense related to stock options, which is expected to be recognized over the weighted-average remaining vesting period of 2.5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Restricted Stock Units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Units ("RSUs") generally vest over three years in equal annual installments beginning on the one-year anniversary of the date of grant, subject to continued service through the vesting date. The Company withholds upon settlement as RSUs vest, or as stock options are exercised, the portion of those shares with a fair market value equal to the amount of the minimum statutory withholding taxes due. The withheld shares are accounted for as repurchases of common stock. Stock-based compensation expense related to RSUs is recognized on a straight-line basis over the grantee's requisite service period.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outstanding RSU awards and the activity for the six months ended June 30, 2026:</w:t>
      </w:r>
    </w:p>
    <w:tbl>
      <w:tblPr>
        <w:tblW w:w="8832" w:type="dxa"/>
        <w:jc w:val="left"/>
        <w:tblInd w:w="0" w:type="dxa"/>
        <w:tblLayout w:type="fixed"/>
        <w:tblCellMar>
          <w:top w:w="28" w:type="dxa"/>
          <w:left w:w="28" w:type="dxa"/>
          <w:bottom w:w="28" w:type="dxa"/>
          <w:right w:w="28" w:type="dxa"/>
        </w:tblCellMar>
      </w:tblPr>
      <w:tblGrid>
        <w:gridCol w:w="1189"/>
        <w:gridCol w:w="1046"/>
        <w:gridCol w:w="1049"/>
        <w:gridCol w:w="529"/>
        <w:gridCol w:w="521"/>
        <w:gridCol w:w="496"/>
        <w:gridCol w:w="109"/>
        <w:gridCol w:w="109"/>
        <w:gridCol w:w="109"/>
        <w:gridCol w:w="883"/>
        <w:gridCol w:w="2142"/>
        <w:gridCol w:w="650"/>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br/>
              <w:t>Per Share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 December 31, 2025</w:t>
            </w:r>
          </w:p>
        </w:tc>
        <w:tc>
          <w:tcPr>
            <w:tcW w:w="15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3,343,506 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(6,518,738)</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Forfeited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(930,997)</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 June 30, 2026</w:t>
            </w:r>
          </w:p>
        </w:tc>
        <w:tc>
          <w:tcPr>
            <w:tcW w:w="154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vested for the six months ended June 30, 2026 was $47.4 million. Of the vested RSUs, 2.3 million shares were surrendered to fulfill tax withholding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$34.6 million of unrecognized stock-based compensation expense related to RSUs, which is expected to be recognized over the weighted-average remaining vesting period of 1.7 years. For the six months ended June 30, 2026 and June 30, 2025, the weighted-average grant date fair value per share of RSUs granted was $7.19 and $3.71, respectively.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Stock appreciation rights ("SARs") are granted under the 2018 Plan. SARs are granted with an exercise price equal to the market price of the Company's common stock at the date of grant. SARs allow the recipient to receive the appreciation in the fair market value of the Company's common stock between the exercise date and the date of grant. SARs are settled in cash and vest in full and automatically exercise on the second anniversary of the date of grant, subject to continued service through the vesting date. SARs are settled in cash, and accordingly are classified as liabilities in the Company's Consolidated Balance Sheets and are remeasured to fair value at the end of each reporting period using the Black-Scholes option-pricing model.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SARs activity under the 2018 Plan for the six months ended June 30, 2026 was as follows: </w:t>
      </w:r>
    </w:p>
    <w:tbl>
      <w:tblPr>
        <w:tblW w:w="10205" w:type="dxa"/>
        <w:jc w:val="left"/>
        <w:tblInd w:w="0" w:type="dxa"/>
        <w:tblLayout w:type="fixed"/>
        <w:tblCellMar>
          <w:top w:w="28" w:type="dxa"/>
          <w:left w:w="28" w:type="dxa"/>
          <w:bottom w:w="28" w:type="dxa"/>
          <w:right w:w="28" w:type="dxa"/>
        </w:tblCellMar>
      </w:tblPr>
      <w:tblGrid>
        <w:gridCol w:w="693"/>
        <w:gridCol w:w="608"/>
        <w:gridCol w:w="611"/>
        <w:gridCol w:w="499"/>
        <w:gridCol w:w="484"/>
        <w:gridCol w:w="348"/>
        <w:gridCol w:w="109"/>
        <w:gridCol w:w="109"/>
        <w:gridCol w:w="109"/>
        <w:gridCol w:w="413"/>
        <w:gridCol w:w="1004"/>
        <w:gridCol w:w="215"/>
        <w:gridCol w:w="109"/>
        <w:gridCol w:w="109"/>
        <w:gridCol w:w="109"/>
        <w:gridCol w:w="823"/>
        <w:gridCol w:w="823"/>
        <w:gridCol w:w="826"/>
        <w:gridCol w:w="109"/>
        <w:gridCol w:w="109"/>
        <w:gridCol w:w="109"/>
        <w:gridCol w:w="832"/>
        <w:gridCol w:w="429"/>
        <w:gridCol w:w="616"/>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millions)</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2025</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2,650,000 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June 30, 2026</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2,650,000 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at June 30, 2026</w:t>
            </w:r>
          </w:p>
        </w:tc>
        <w:tc>
          <w:tcPr>
            <w:tcW w:w="98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SARs fair value for the six months ended June 30, 2026 (in millions).</w:t>
      </w:r>
    </w:p>
    <w:tbl>
      <w:tblPr>
        <w:tblW w:w="3703" w:type="dxa"/>
        <w:jc w:val="left"/>
        <w:tblInd w:w="0" w:type="dxa"/>
        <w:tblLayout w:type="fixed"/>
        <w:tblCellMar>
          <w:top w:w="28" w:type="dxa"/>
          <w:left w:w="28" w:type="dxa"/>
          <w:bottom w:w="28" w:type="dxa"/>
          <w:right w:w="28" w:type="dxa"/>
        </w:tblCellMar>
      </w:tblPr>
      <w:tblGrid>
        <w:gridCol w:w="955"/>
        <w:gridCol w:w="839"/>
        <w:gridCol w:w="845"/>
        <w:gridCol w:w="311"/>
        <w:gridCol w:w="311"/>
        <w:gridCol w:w="442"/>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2025 </w:t>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SARs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06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SARs value assumptions:</w:t>
      </w:r>
    </w:p>
    <w:tbl>
      <w:tblPr>
        <w:tblW w:w="4304" w:type="dxa"/>
        <w:jc w:val="left"/>
        <w:tblInd w:w="0" w:type="dxa"/>
        <w:tblLayout w:type="fixed"/>
        <w:tblCellMar>
          <w:top w:w="28" w:type="dxa"/>
          <w:left w:w="28" w:type="dxa"/>
          <w:bottom w:w="28" w:type="dxa"/>
          <w:right w:w="28" w:type="dxa"/>
        </w:tblCellMar>
      </w:tblPr>
      <w:tblGrid>
        <w:gridCol w:w="951"/>
        <w:gridCol w:w="835"/>
        <w:gridCol w:w="839"/>
        <w:gridCol w:w="490"/>
        <w:gridCol w:w="490"/>
        <w:gridCol w:w="699"/>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6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44.9%</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risk-free interest rate for SARs is based on the United States Treasury yield curve in effect at the time of remeasurement. Expected stock price volatility is based on the historical volatility of the Company's stock. As of June 30, 2026, there was $2.9 million of unrecognized stock-based compensation expense related to SARs.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reporting of total stock-based compensation expense resulting from stock options, RSUs, SARs, and the ESPP (in thousands): </w:t>
      </w:r>
    </w:p>
    <w:tbl>
      <w:tblPr>
        <w:tblW w:w="9668" w:type="dxa"/>
        <w:jc w:val="left"/>
        <w:tblInd w:w="0" w:type="dxa"/>
        <w:tblLayout w:type="fixed"/>
        <w:tblCellMar>
          <w:top w:w="28" w:type="dxa"/>
          <w:left w:w="28" w:type="dxa"/>
          <w:bottom w:w="28" w:type="dxa"/>
          <w:right w:w="28" w:type="dxa"/>
        </w:tblCellMar>
      </w:tblPr>
      <w:tblGrid>
        <w:gridCol w:w="1359"/>
        <w:gridCol w:w="1192"/>
        <w:gridCol w:w="1198"/>
        <w:gridCol w:w="109"/>
        <w:gridCol w:w="109"/>
        <w:gridCol w:w="109"/>
        <w:gridCol w:w="240"/>
        <w:gridCol w:w="821"/>
        <w:gridCol w:w="124"/>
        <w:gridCol w:w="124"/>
        <w:gridCol w:w="124"/>
        <w:gridCol w:w="124"/>
        <w:gridCol w:w="240"/>
        <w:gridCol w:w="702"/>
        <w:gridCol w:w="124"/>
        <w:gridCol w:w="109"/>
        <w:gridCol w:w="109"/>
        <w:gridCol w:w="109"/>
        <w:gridCol w:w="218"/>
        <w:gridCol w:w="746"/>
        <w:gridCol w:w="112"/>
        <w:gridCol w:w="112"/>
        <w:gridCol w:w="112"/>
        <w:gridCol w:w="112"/>
        <w:gridCol w:w="218"/>
        <w:gridCol w:w="637"/>
        <w:gridCol w:w="112"/>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12.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non-cancellable operating leases for office and laboratory space, which expire at various times in 2031 and 2036. The non-cancellable lease agreements provide for monthly lease payments, which increase during the term of each lease agreement.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Company's leases are classified as operating leases, which are included as operating lease right-of-use assets and current and non-current operating lease liabilities in the consolidated balance sheets. The Company's operating lease costs are included in operating expenses in the accompanying consolidated statements of operations and comprehensive loss. The Company's lease agreements do not contain any material residual value guarantees or material restrictive covenants.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majority of the Company's lease agreements include fixed rental payments. Certain lease agreements include fixed rental payments that are adjusted periodically by a fixed rate. The fixed payments, including the effects of changes in the fixed rate or amount, and renewal options reasonably certain to be exercised, are included in the measurement of the related lease liability. The exercise of lease renewal options is at the Company's sole discretion. The depreciable life of assets and leasehold improvements are limited by the expected lease term, which includes renewal options reasonably certain to be exercised. The majority of the Company's real estate leases require that the Company pay maintenance, real estate taxes and insurance in addition to rent. These payments are generally variable and based on actual costs incurred by the lessor. Therefore, these amounts are not included in the consideration of the contract when determining the right-of-use asset and lease liability but are reflected as variable lease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the interest rate implicit in the lease is not readily determinable, the Company uses the incremental borrowing rate as the discount rate. The Company considers observable inputs as of the effective date of the ASC 842 adoption including the credit rating, existing borrowings and other relevant borrowing rates, such as risk-free rates like the United States Treasury rate, and then adjusting as necessary for the appropriate lease term. The incremental borrowing rate is reassessed if there is a change to the lease term or if a modification occurs and it is not accounted for as a separate contract. As of June 30, 2026, the Company's operating leases had a weighted-average remaining lease term of 9.2 years and a weighted-average discount rate of 11.9%.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Company's operating leases was as follows (in thousands):</w:t>
      </w:r>
    </w:p>
    <w:tbl>
      <w:tblPr>
        <w:tblW w:w="10205" w:type="dxa"/>
        <w:jc w:val="left"/>
        <w:tblInd w:w="0" w:type="dxa"/>
        <w:tblLayout w:type="fixed"/>
        <w:tblCellMar>
          <w:top w:w="28" w:type="dxa"/>
          <w:left w:w="28" w:type="dxa"/>
          <w:bottom w:w="28" w:type="dxa"/>
          <w:right w:w="28" w:type="dxa"/>
        </w:tblCellMar>
      </w:tblPr>
      <w:tblGrid>
        <w:gridCol w:w="1618"/>
        <w:gridCol w:w="1419"/>
        <w:gridCol w:w="1426"/>
        <w:gridCol w:w="109"/>
        <w:gridCol w:w="109"/>
        <w:gridCol w:w="109"/>
        <w:gridCol w:w="239"/>
        <w:gridCol w:w="699"/>
        <w:gridCol w:w="123"/>
        <w:gridCol w:w="123"/>
        <w:gridCol w:w="123"/>
        <w:gridCol w:w="123"/>
        <w:gridCol w:w="239"/>
        <w:gridCol w:w="699"/>
        <w:gridCol w:w="123"/>
        <w:gridCol w:w="109"/>
        <w:gridCol w:w="109"/>
        <w:gridCol w:w="109"/>
        <w:gridCol w:w="222"/>
        <w:gridCol w:w="652"/>
        <w:gridCol w:w="115"/>
        <w:gridCol w:w="115"/>
        <w:gridCol w:w="115"/>
        <w:gridCol w:w="115"/>
        <w:gridCol w:w="222"/>
        <w:gridCol w:w="652"/>
        <w:gridCol w:w="115"/>
        <w:gridCol w:w="109"/>
        <w:gridCol w:w="165"/>
      </w:tblGrid>
      <w:tr>
        <w:trPr/>
        <w:tc>
          <w:tcPr>
            <w:tcW w:w="161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74" w:type="dxa"/>
            <w:gridSpan w:val="2"/>
            <w:tcBorders/>
          </w:tcPr>
          <w:p>
            <w:pPr>
              <w:pStyle w:val="TableContents"/>
              <w:bidi w:val="0"/>
              <w:spacing w:before="0" w:after="283"/>
              <w:jc w:val="left"/>
              <w:rPr>
                <w:sz w:val="4"/>
                <w:szCs w:val="4"/>
              </w:rPr>
            </w:pPr>
            <w:r>
              <w:rPr>
                <w:sz w:val="4"/>
                <w:szCs w:val="4"/>
              </w:rPr>
            </w:r>
          </w:p>
        </w:tc>
      </w:tr>
      <w:tr>
        <w:trPr/>
        <w:tc>
          <w:tcPr>
            <w:tcW w:w="4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reports the amortization of operating lease right-of-use assets and the change in operating lease liabilities on a net basis in other in the operating activities of the accompanying consolidated statements of 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8005" w:type="dxa"/>
        <w:jc w:val="left"/>
        <w:tblInd w:w="0" w:type="dxa"/>
        <w:tblLayout w:type="fixed"/>
        <w:tblCellMar>
          <w:top w:w="28" w:type="dxa"/>
          <w:left w:w="28" w:type="dxa"/>
          <w:bottom w:w="28" w:type="dxa"/>
          <w:right w:w="28" w:type="dxa"/>
        </w:tblCellMar>
      </w:tblPr>
      <w:tblGrid>
        <w:gridCol w:w="755"/>
        <w:gridCol w:w="661"/>
        <w:gridCol w:w="668"/>
        <w:gridCol w:w="109"/>
        <w:gridCol w:w="109"/>
        <w:gridCol w:w="109"/>
        <w:gridCol w:w="251"/>
        <w:gridCol w:w="735"/>
        <w:gridCol w:w="130"/>
        <w:gridCol w:w="130"/>
        <w:gridCol w:w="130"/>
        <w:gridCol w:w="130"/>
        <w:gridCol w:w="251"/>
        <w:gridCol w:w="735"/>
        <w:gridCol w:w="130"/>
        <w:gridCol w:w="109"/>
        <w:gridCol w:w="109"/>
        <w:gridCol w:w="109"/>
        <w:gridCol w:w="228"/>
        <w:gridCol w:w="668"/>
        <w:gridCol w:w="118"/>
        <w:gridCol w:w="118"/>
        <w:gridCol w:w="118"/>
        <w:gridCol w:w="118"/>
        <w:gridCol w:w="228"/>
        <w:gridCol w:w="668"/>
        <w:gridCol w:w="118"/>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operating and variable lease expenses are reported within operating expenses while sublease income is reported in interest and other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maturities of lease liabilities are summarized as follows (in thousands):</w:t>
      </w:r>
    </w:p>
    <w:tbl>
      <w:tblPr>
        <w:tblW w:w="5015" w:type="dxa"/>
        <w:jc w:val="left"/>
        <w:tblInd w:w="0" w:type="dxa"/>
        <w:tblLayout w:type="fixed"/>
        <w:tblCellMar>
          <w:top w:w="28" w:type="dxa"/>
          <w:left w:w="28" w:type="dxa"/>
          <w:bottom w:w="28" w:type="dxa"/>
          <w:right w:w="28" w:type="dxa"/>
        </w:tblCellMar>
      </w:tblPr>
      <w:tblGrid>
        <w:gridCol w:w="1420"/>
        <w:gridCol w:w="1246"/>
        <w:gridCol w:w="1263"/>
        <w:gridCol w:w="211"/>
        <w:gridCol w:w="721"/>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Effect of discounting to net present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Present value of lease liabilities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13. Commitments and Contingencies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Commitments to Taro</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 supply agreement with Taro Pharmaceuticals North America, Inc. ("Taro") to produce Keveyis. In 2023, the Company amended the agreement to extend the initial term until March 2027. As part of the agreement, as amended, the Company has agreed to certain annual minimum marketing spend requirements and minimum purchase order quantities for each year, which in the case of the minimum purchase order quantities, is based on the previous year's purchases.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Leases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June 30, 2026, the Company had unused letters of credit of </w:t>
      </w:r>
      <w:r>
        <w:rPr>
          <w:rFonts w:ascii="Times New Roman;serif" w:hAnsi="Times New Roman;serif"/>
          <w:b w:val="false"/>
          <w:color w:val="000000"/>
          <w:sz w:val="20"/>
        </w:rPr>
        <w:t xml:space="preserve">$4.0 million, which were issued primarily to secure leases. These letters of credit are collateralized by $4.0 million of restricted cash, which is recorded in other assets 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Legal Matters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2026; March 20, 2026; June 4, 2026; and July 13, 2026, the Company’s wholly owned subsidiaries, Xeris Pharmaceuticals, Inc. and Strongbridge Dublin Limited, filed patent infringement lawsuits under the Hatch-Waxman Act in the United States District Court for the District of New Jersey against defendants (i) Torrent Pharmaceuticals Limited (along with its affiliate, “Torrent”) and Somerset Therapeutics, LLC (along with its affiliates, “Somerset”), (ii) Sandoz Inc. (“Sandoz”) and Zydus Lifesciences Global FZZE (along with its affiliates, “Zydus”), and (iii) Novitium Pharma, LLC (along with its affiliate, “Novitium”) in two separate actions, respectively (each, an “ANDA Filer”). These lawsuits were filed following receipt of a Paragraph IV certification notice letter (each, a “Notice Letter”) from each of Torrent, Somerset, Sandoz, Zydus, and Novitium regarding the filing of its respective Abbreviated New Drug Application (“ANDA”) with the U.S. Food and Drug Administration (“FDA”) seeking approval to manufacture, use, or sell a generic version of Recorlev®. The Notice Letters stated that each ANDA Filer’s ANDAs contained Paragraph IV certifications alleging that four of the Company’s Orange Book-listed patents covering Recorlev® (U.S. Patent Nos. 11,020,393, 11,278,547, 11,903,940 and 12,377,096) (collectively, the “Orange Book Patents), which are scheduled to expire in March 2040, are invalid, unenforceable and/or will not be infringed by each ANDA Filer’s manufacture, use, or sale of the generic product described in its respective ANDA submission.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Collectively, the complaints allege that, by filing ANDAs for their respective generic products, each of Torrent, Somerset, Sandoz, Zydus, and Novitium has infringed the Orange Book Patents for Recorlev®. The complaints seek an order preventing the FDA from granting final approval of the respective ANDAs before the expiration of the Orange Book Patents and a permanent injunction to prevent each of the defendants from commercializing a generic version of Recorlev®, until the expiration of the Orange Book Patents, including any applicable extensions and additional periods of exclusivity. On June 8, 2026, the United States District Court for the District of New Jersey entered an order consolidating for all pretrial purposes the actions filed on February 26, 2026 against Somerset and Torrent and the action filed on March 20, 2026 against Sandoz and Zydus (“Consolidated Action”). On July 20, 2026, the United States District Court for the District of New Jersey entered an order consolidating for all pretrial purposes the actions against Novitium filed on June 4, 2026 and July 13, 2026 into the Consolidated Action. A bench trial has been tentatively scheduled for November 2028. The filing of each lawsuit within 45 days of receipt of each of the respective Notice Letters triggered an automatic stay of the FDA’s approval of each of the respective ANDAs in accordance with the Hatch-Waxman Act until up to June 30, 2029, in the absence of a decision from the court finding all asserted claims invalid or not infringed before that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receive additional Notice Letters in the future from ANDA filers seeking approval of a generic version of Recorlev and may file additional ANDA lawsuits in the future.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From time to time, the Company may become involved in various legal actions arising in the ordinary course of business. As of June 30, 2026, management was not aware of any existing, pending or threatened legal actions that would have a material impact on the financial position or results of operations of the Company.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14. Net Loss Per Common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 are determined by dividing net loss applicable to common stockholders by the weighted average common shares outstanding during the period. For periods in which the Company was in a net loss, the shares issuable upon conversion, exercise or vesting of Convertible Notes, warrants, stock option awards and RSUs have been excluded from the calculation because their effects would be anti-dilutive. Therefore, the weighted average common shares outstanding used to calculate both basic and diluted net loss per common share are the same.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were excluded from the computation of diluted weighted average common shares outstanding due to their anti-dilutive effect:</w:t>
      </w:r>
    </w:p>
    <w:tbl>
      <w:tblPr>
        <w:tblW w:w="9849" w:type="dxa"/>
        <w:jc w:val="left"/>
        <w:tblInd w:w="0" w:type="dxa"/>
        <w:tblLayout w:type="fixed"/>
        <w:tblCellMar>
          <w:top w:w="28" w:type="dxa"/>
          <w:left w:w="28" w:type="dxa"/>
          <w:bottom w:w="28" w:type="dxa"/>
          <w:right w:w="28" w:type="dxa"/>
        </w:tblCellMar>
      </w:tblPr>
      <w:tblGrid>
        <w:gridCol w:w="1848"/>
        <w:gridCol w:w="1623"/>
        <w:gridCol w:w="1629"/>
        <w:gridCol w:w="109"/>
        <w:gridCol w:w="109"/>
        <w:gridCol w:w="476"/>
        <w:gridCol w:w="476"/>
        <w:gridCol w:w="579"/>
        <w:gridCol w:w="502"/>
        <w:gridCol w:w="479"/>
        <w:gridCol w:w="109"/>
        <w:gridCol w:w="109"/>
        <w:gridCol w:w="109"/>
        <w:gridCol w:w="540"/>
        <w:gridCol w:w="541"/>
        <w:gridCol w:w="348"/>
        <w:gridCol w:w="109"/>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019" w:type="dxa"/>
            <w:gridSpan w:val="8"/>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to be issued upon conversion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10,971,895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9,405,109 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14,468,303 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7,067,252 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7,077,512 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125,999 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5,758,536 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 excluded from EPS computation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27,570,255 </w:t>
            </w:r>
          </w:p>
        </w:tc>
        <w:tc>
          <w:tcPr>
            <w:tcW w:w="4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38,276,246 </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15. Segment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single operating and reporting segment dedicated to developing and commercializing therapies for people with chronic endocrine and neurological diseases. The Company has identified the Chief Executive Officer as the chief operating decision maker ("CODM").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CODM regularly reviews consolidated financial information, including net loss, to assess the performance of the Company and allocate resources. The CODM also considers budget versus actual results and revenue trends to evaluate expenditures and allocate resources across the organization.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provide a comprehensive view of the Company’s overall financial condition, including information on segment assets and liabilities reported in the condensed consolidated balance sheets. The significant expense categories are consistent with those presented on the face of the condensed consolidated statements of operations and comprehensive loss, and the CODM does not receive or use any other disaggregated or significant expense information for decision making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Cautionary statements for forward-looking information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condensed consolidated financial statements and notes to those financial statements appearing elsewhere in this Quarterly Report on Form 10-Q and with the audited financial statements and the notes to those financial statements included in the Annual Report on Form 10-K filed on March 2, 2026 with the U.S. Securities and Exchange Commission ("SEC"). In addition to financial information, the following discussion contains forward-looking statements that reflect our plans, estimates and beliefs. All statements in this document other than statements of historical fact are, or could be, "forward-looking statements" within the meaning of the Private Securities Litigation Reform Act of 1995. Words such as "will," "would," "may," "should," "expects," "focus," "goal," "intends," "plans," "anticipates," "believes," "estimates," "predicts," "potential," "continue," and terms of similar meaning are also generally intended to identify forward-looking statements. Actual results may differ materially from those indicated by such forward-looking statements as a result of various important factors, including without limitation, the regulatory approval of our product candidates, including potential impacts of changes in or disruptions of U.S. governmental agencies, whether from a future U.S. federal government shutdown, reduced resources or shifting policy priorities and the resulting impact on regulatory feedback and timing thereof, new laws and regulations or amendment to existing laws and regulations in the U.S and foreign countries, changes in the macroeconomic conditions, such as possibility of an economic downturn, concerns regarding a potential global recession or general economic uncertainty, inflationary pressures and capital market disruptions, interest rate fluctuations, our ability to market and sell our products and product candidates if approved, increasing geopolitical tensions and military conflicts, such as the ongoing conflicts between Russia and Ukraine, the U.S. and Iran, and in the Middle East, and market volatility, including announced or implemented tariffs, and factors discussed in Item 1A. Risk Factors in our Annual Report on Form 10-K for the year ended December 31, 2025 and in our other subsequent filings with the SEC, including elsewhere in this Quarterly Report on Form 10-Q. Any forward-looking statements contained herein speak only as of the date hereof, and Xeris expressly disclaims any obligation to update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Xeris Biopharma Holdings, Inc. along with its subsidiaries, is referenced herein as the "Company," "Xeris," "Xeris Biopharma," "we" or "our." Throughout this document, unless otherwise noted, references to Gvoke include Gvoke PFS, Gvoke HypoPen, and Gvoke Kit.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commercial-stage biopharmaceutical company focused on developing and commercializing therapies for people with chronic endocrine and neurological diseases in the United States. We offer Recorlev for the treatment of endogenous hypercortisolemia in patients with Cushing’s syndrome, Gvoke for the treatment of severe hypoglycemia, and Keveyis for the treatment of Primary Periodic Paralysis ("PPP"). We are advancing our Phase 3-ready pipeline product, XP-8121, once-weekly subcutaneous ("SC") levothyroxine, which leverages our proprietary technology XeriSol. </w:t>
      </w:r>
    </w:p>
    <w:p>
      <w:pPr>
        <w:pStyle w:val="TextBody"/>
        <w:bidi w:val="0"/>
        <w:spacing w:lineRule="auto" w:line="268" w:before="120" w:after="120"/>
        <w:jc w:val="both"/>
        <w:rPr>
          <w:rFonts w:ascii="Times New Roman;serif" w:hAnsi="Times New Roman;serif"/>
          <w:b/>
          <w:i/>
          <w:color w:val="000000"/>
          <w:sz w:val="20"/>
        </w:rPr>
      </w:pPr>
      <w:r>
        <w:rPr>
          <w:rFonts w:ascii="Times New Roman;serif" w:hAnsi="Times New Roman;serif"/>
          <w:b/>
          <w:i/>
          <w:color w:val="000000"/>
          <w:sz w:val="20"/>
        </w:rPr>
        <w:t>Commercial Products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top priority is maximizing the potential of our three commercial products: </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i/>
          <w:color w:val="000000"/>
          <w:sz w:val="20"/>
        </w:rPr>
        <w:t xml:space="preserve">Recorlev </w:t>
      </w:r>
      <w:r>
        <w:rPr>
          <w:rFonts w:ascii="Times New Roman;serif" w:hAnsi="Times New Roman;serif"/>
          <w:b w:val="false"/>
          <w:color w:val="000000"/>
          <w:sz w:val="20"/>
        </w:rPr>
        <w:t xml:space="preserve">is a cortisol synthesis inhibitor approved for the treatment of endogenous hypercortisolemia in adult patients with Cushing's syndrome for whom surgery is not an option or has not been curative. Endogenous Cushing's syndrome is a rare but serious and potentially fatal endocrine disease caused by chronic elevated cortisol exposure. </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i/>
          <w:color w:val="000000"/>
          <w:sz w:val="20"/>
        </w:rPr>
        <w:t xml:space="preserve">Gvoke </w:t>
      </w:r>
      <w:r>
        <w:rPr>
          <w:rFonts w:ascii="Times New Roman;serif" w:hAnsi="Times New Roman;serif"/>
          <w:b w:val="false"/>
          <w:color w:val="000000"/>
          <w:sz w:val="20"/>
        </w:rPr>
        <w:t xml:space="preserve">is a ready-to-use, liquid-stable glucagon for the treatment of severe hypoglycemia. The product is indicated for use in pediatric and adult patients with diabetes age two years and above and can be administered in two simple steps.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Keveyis</w:t>
      </w:r>
      <w:r>
        <w:rPr>
          <w:color w:val="000000"/>
        </w:rPr>
        <w:t xml:space="preserve"> </w:t>
      </w:r>
      <w:r>
        <w:rPr>
          <w:rFonts w:ascii="Times New Roman;serif" w:hAnsi="Times New Roman;serif"/>
          <w:b w:val="false"/>
          <w:color w:val="000000"/>
          <w:sz w:val="20"/>
        </w:rPr>
        <w:t xml:space="preserve">is the first therapy approved in the United States to treat hyperkalemic, hypokalemic, and related variants of PPP. PPP is a rare genetic, neuromuscular disorder that can cause extreme muscle weakness and/or paralysis; some forms are also commonly associated with myotonia or muscle stiffness.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Pipeline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company name, Xeris, is derived from the ancient Greek word xērós meaning 'dry' or 'without water/non-aqueous'. Our proprietary, non-aqueous formulation capabilities are designed to enable the convenient injection of medicines previously uninjectable or poorly injectable when utilizing aqueous approaches. Both XeriSol and XeriJect offer the opportunity to create ready-to-use, room-temperature stable, highly concentrated, injectable formulations of both small and large molecules.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XP-8121: We are in the process of developing the first and only, once-weekly, subcutaneous injection of levothyroxine for the treatment of hypothyroidism. We are working with the United States Food and Drug Administration ("FDA") and plan to initiate a Phase 3 clinical trial of our XP-8121 product candidate.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Partnerships: We are pursuing formulation and development partnerships to apply our XeriSol and XeriJect formulation technologies to enhance the drug delivery and clinical profile of other companies’ proprietary drugs and biologics.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currently collaborating with several major pharmaceutical companies on the development of formulations of their proprietary therapeutics.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strategy is to continue to build a profitable biopharmaceutical company focused on developing and commercializing therapies for people with chronic endocrine and neurological diseases. Xeris is uniquely positioned to execute on this strategy through the continued growth of our three commercial products, which enables us to invest in and develop therapies for unmet medical needs. We believe this will generate value to all of our stakeholders.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Patent Rights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31, 2026, we owned 191 patents issued globally, including composition of matter patents covering our ready-to-use glucagon formulation that expire in 2036. Included in the total patents, we have 70 granted patents globally related to our platform technologies and nine patents granted in the United States and listed in the FDA Orange Book covering proprietary formulations of levoketoconazole (the active pharmaceutical ingredient in Recorlev) and the uses of such formulations in treating certain endocrine-related diseases and syndromes. The latter includes United States Patent Nos. 11,020,393, 11,278,547, 11,903,940, and 12,377,096, which were granted on June 1, 2021, March 22, 2022, February 20, 2024, and August 5, 2025, respectively, and which provide patent protection through 2040 for the use of Recorlev in the treatment of certain patients with persistent or recurrent Cushing's syndrome.</w:t>
      </w:r>
    </w:p>
    <w:p>
      <w:pPr>
        <w:pStyle w:val="TextBody"/>
        <w:bidi w:val="0"/>
        <w:spacing w:before="0" w:after="0"/>
        <w:jc w:val="left"/>
        <w:rPr/>
      </w:pPr>
      <w:r>
        <w:rPr/>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Financing</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funded our operations to date primarily with proceeds from the sale of our preferred and common stock and debt financing.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June 30, 2025, we reported net losses of $28.9 million and $11.1 million, respectively. Our accumulated deficit was $700.2 million. In the near term, we may incur net losses as we, among other things: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21"/>
        <w:gridCol w:w="2687"/>
        <w:gridCol w:w="3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our selling and marketing efforts related to our commercial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continue our research and development efforts;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to operate as a public company;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to fund our operations with an increased cost of borrowing due to a high interest rate environment and tighter lending requirements.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continue to seek public equity and debt financing to meet our capital requirements. There can be no assurance that such funding may be available to us on acceptable terms, or at all, or that we will be able to commercialize our product candidates, if approved. In addition, we may not be profitable even if we commercialize any of our product candidates.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sets forth certain components of the statement of operations of Xeris for the three and six months ended June 30, 2026 and 2025 as well as factors that impact those items.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Product revenue, net, represents gross product sales less estimated allowances for patient copay assistance programs, prompt payment discounts, payor rebates, chargebacks, service fees, and product returns, all of which are recorded at the time of sale to the pharmaceutical wholesaler or other customer. We apply significant judgment and estimates in determining some of these allowances. If actual results differ from our estimates, we make adjustments to these allowances in the period in which the actual results or updates to estimates become known.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Royalty, contract and other revenue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Royalty and contract revenue is recognized as earned in accordance with contract terms when it can be reasonably estimated and collectability is reasonably assured. Revenue generated from various collaboration and technology partnerships are included in this line item.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primarily includes product costs, which include all costs directly related to the purchase of raw materials, charges from our contract manufacturing organizations, and manufacturing overhead costs, as well as shipping and distribution charges. Cost of goods sold also includes losses from excess, slow-moving or obsolete inventory and inventory purchase commitments,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of expenses incurred in connection with the discovery and development of our products and product candidates. We recognize research and development expenses as incurred. Expenses that are paid in advance of performance are capitalized until services are provided or goods are delivered. We track external research and development costs by project, however, personnel related expenses related to research and development are not allocated by project. Research and development expenses primarily include: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82"/>
        <w:gridCol w:w="2658"/>
        <w:gridCol w:w="37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cost of acquiring and manufacturing preclinical study and clinical trial materials and manufacturing costs related to commercial production and scale-up until a product is approved and initially available for commercial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expenses incurred under agreements with contract research organizations ("CROs") as well as investigative sites and consultants that conduct our preclinical studies and clinical trials;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personnel-related expenses, which include salaries, benefits and stock-based compensation;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laboratory materials and supplies used to support our research activities;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outsourced product development services;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expenses relating to regulatory activities, including filing fees paid to regulatory agencies;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allocated expenses for facility-related costs.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We expect to continue to incur significant research and development expenses as we advance our pipeline candidates and in particular plan and conduct clinical trials, prepare regulatory filings for our product candidates, and utilize internal resources to support these efforts.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may vary significantly over time due to uncertainties relating to the timing and results of our clinical trials, feedback received from interactions with the FDA and the timing of regulatory approvals.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compensation and related personnel costs, marketing and selling expenses, professional fees and facility costs not otherwise included in research and development expenses.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Amortization of intangible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relates to the amortization of our products: Recorlev and Keveyis. These two intangible assets are being amortized over a five-year and fourteen-year period, respectively, using the straight-line method.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Other income (expense)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consists primarily of interest expense related to our loan and convertible debt, interest income earned on deposits and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results of operations for the three and six months ended June 30, 2026 and 2025 (in thousands): </w:t>
      </w:r>
    </w:p>
    <w:tbl>
      <w:tblPr>
        <w:tblW w:w="10764" w:type="dxa"/>
        <w:jc w:val="left"/>
        <w:tblInd w:w="0" w:type="dxa"/>
        <w:tblLayout w:type="fixed"/>
        <w:tblCellMar>
          <w:top w:w="28" w:type="dxa"/>
          <w:left w:w="28" w:type="dxa"/>
          <w:bottom w:w="28" w:type="dxa"/>
          <w:right w:w="28" w:type="dxa"/>
        </w:tblCellMar>
      </w:tblPr>
      <w:tblGrid>
        <w:gridCol w:w="879"/>
        <w:gridCol w:w="258"/>
        <w:gridCol w:w="259"/>
        <w:gridCol w:w="211"/>
        <w:gridCol w:w="736"/>
        <w:gridCol w:w="109"/>
        <w:gridCol w:w="211"/>
        <w:gridCol w:w="721"/>
        <w:gridCol w:w="109"/>
        <w:gridCol w:w="109"/>
        <w:gridCol w:w="109"/>
        <w:gridCol w:w="109"/>
        <w:gridCol w:w="211"/>
        <w:gridCol w:w="736"/>
        <w:gridCol w:w="109"/>
        <w:gridCol w:w="366"/>
        <w:gridCol w:w="370"/>
        <w:gridCol w:w="109"/>
        <w:gridCol w:w="109"/>
        <w:gridCol w:w="109"/>
        <w:gridCol w:w="109"/>
        <w:gridCol w:w="211"/>
        <w:gridCol w:w="736"/>
        <w:gridCol w:w="109"/>
        <w:gridCol w:w="211"/>
        <w:gridCol w:w="736"/>
        <w:gridCol w:w="109"/>
        <w:gridCol w:w="109"/>
        <w:gridCol w:w="109"/>
        <w:gridCol w:w="109"/>
        <w:gridCol w:w="109"/>
        <w:gridCol w:w="211"/>
        <w:gridCol w:w="736"/>
        <w:gridCol w:w="109"/>
        <w:gridCol w:w="314"/>
        <w:gridCol w:w="317"/>
        <w:gridCol w:w="109"/>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Recorlev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Gvoke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Keveyis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product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contract and other revenue</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and expenses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Recorlev</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increased by $25.3 million or 80.6% for the three months ended June 30, 2026 compared to the three months ended June 30, 2025. The increase was due to higher volume ($21.9 million or 69.6%), primarily driven by increased patient demand, and favorable net pricing ($3.4 million or 11.0%).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increased by $49.6 million or 87.0% for the six months ended June 30, 2026 compared to the six months ended June 30, 2025. The increase was due to higher volume ($42.6 million or 74.7%), primarily driven by increased patient demand, and favorable net pricing ($7.0 million or 12.3%).</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Gvoke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decreased by $0.9 million or 3.9% for the three months ended June 30, 2026 compared to the three months ended June 30, 2025. The decrease was due to lower volume ($1.5 million or 6.5%), partially offset by favorable net pricing ($0.6 million or 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decreased by $1.0 million or 2.2% for the six months ended June 30, 2026 compared to the six months ended June 30, 2025. The decrease was due to lower volume ($1.9 million or 4.3%), partially offset by favorable net pricing ($0.9 million or 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Keveyis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increased by $0.2 million or 1.7% for the three months ended June 30, 2026 compared to the three months ended June 30, 2025. The increase was due favorable net pricing ($0.7 million or 5.8%), partially offset by lower volume ($0.5 million or 4.1%).</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increased by $0.6 million or 2.8% for the six months ended June 30, 2026 compared to the six months ended June 30, 2025. The increase was due to favorable net pricing ($1.3 million or 5.7%), partially offset by lower volume ($0.7 million or 2.9%).</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Royalty, contract and other revenue</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Royalty, contract and other revenue decreased $2.7 million or 71.4% for the three months ended June 30, 2026 compared to the three months ended June 30, 2025. The decrease primarily reflects the recognition of a milestone from a partnership agreement in 2025.</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Royalty, contract and other revenue decreased $4.4 million or 71.2% for the six months ended June 30, 2026 compared to the six months ended June 30, 2025. The decrease primarily reflects the recognition of a milestone from a partnership agreement in 2025.</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increased by $0.6 million or 5.2% for the three months ended June 30, 2026 compared to the same period ended June 30, 2025. Cost of goods sold increased by $2.5 million or 11.9% for the six months ended June 30, 2026 compared to the same period ended June 30,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as a percent of total product revenue improved by 3.9%, to 13.7% for the three months ended June 30, 2026 compared to 17.6% for the same period ended June 30, 2025, primarily due to favorable product mix dynamics ($4.5 million or 6.8%), partially offset by higher write-downs of expired and excess inventory ($1.9 million or 2.9%).</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as a percent of total product revenue improved by 3.1%, to 13.3% for the six months ended June 30, 2026 compared to 16.4% for the same period ended June 30, 2025, primarily due to favorable product mix dynamics ($7.3 million or 5.8%), partially offset by higher write-downs of expired and excess inventory ($3.4 million or 2.7%).</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$2.6 million or 32.5% for the three months ended June 30, 2026 compared to the same period ended June 30, 2025.</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$3.6 million or 23.1% for the six months ended June 30, 2026 compared to the same period ended June 30,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by type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806"/>
        <w:gridCol w:w="495"/>
        <w:gridCol w:w="499"/>
        <w:gridCol w:w="229"/>
        <w:gridCol w:w="784"/>
        <w:gridCol w:w="118"/>
        <w:gridCol w:w="229"/>
        <w:gridCol w:w="670"/>
        <w:gridCol w:w="118"/>
        <w:gridCol w:w="109"/>
        <w:gridCol w:w="109"/>
        <w:gridCol w:w="109"/>
        <w:gridCol w:w="211"/>
        <w:gridCol w:w="616"/>
        <w:gridCol w:w="109"/>
        <w:gridCol w:w="179"/>
        <w:gridCol w:w="179"/>
        <w:gridCol w:w="183"/>
        <w:gridCol w:w="109"/>
        <w:gridCol w:w="109"/>
        <w:gridCol w:w="109"/>
        <w:gridCol w:w="219"/>
        <w:gridCol w:w="749"/>
        <w:gridCol w:w="113"/>
        <w:gridCol w:w="219"/>
        <w:gridCol w:w="749"/>
        <w:gridCol w:w="113"/>
        <w:gridCol w:w="109"/>
        <w:gridCol w:w="109"/>
        <w:gridCol w:w="109"/>
        <w:gridCol w:w="109"/>
        <w:gridCol w:w="211"/>
        <w:gridCol w:w="616"/>
        <w:gridCol w:w="109"/>
        <w:gridCol w:w="170"/>
        <w:gridCol w:w="170"/>
        <w:gridCol w:w="252"/>
      </w:tblGrid>
      <w:tr>
        <w:trPr/>
        <w:tc>
          <w:tcPr>
            <w:tcW w:w="80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592" w:type="dxa"/>
            <w:gridSpan w:val="3"/>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5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Project specific expenses: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Technology development </w:t>
            </w:r>
            <w:r>
              <w:rPr>
                <w:rFonts w:ascii="Times New Roman;serif" w:hAnsi="Times New Roman;serif"/>
                <w:b w:val="false"/>
                <w:color w:val="000000"/>
                <w:sz w:val="13"/>
              </w:rPr>
              <w:t>(1)</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(76.9)</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expenses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Lab supplies and equipment depreciation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15,808 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r>
    </w:tbl>
    <w:p>
      <w:pPr>
        <w:pStyle w:val="TextBody"/>
        <w:bidi w:val="0"/>
        <w:spacing w:lineRule="auto" w:line="26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Technology development represents any investment in our proprietary technology platforms, XeriSol and XeriJect.</w:t>
      </w:r>
    </w:p>
    <w:p>
      <w:pPr>
        <w:pStyle w:val="TextBody"/>
        <w:bidi w:val="0"/>
        <w:spacing w:lineRule="auto" w:line="288" w:before="120" w:after="120"/>
        <w:ind w:left="0" w:right="0" w:hanging="18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$16.6 million or 37.5% for the three months ended June 30, 2026 compared to the same period ended June 30, 2025. This increase was primarily due to higher personnel related expense ($14.7 million) to support the commercial enterprise, including the Recorlev expansion.</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$25.8 million or 29.1% for the six months ended June 30, 2026 compared to the same period ended June 30, 2025. This increase was primarily due to higher personnel related expense ($22.7 million) to support the commercial enterprise, including the Recorlev expansion.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June 30, 2025, amortization of intangible assets were both $2.7 million and $5.4 million,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interest expense decreased $0.4 million or 5.6% compared to the same period ended June 30, 2025. This decrease was primarily due to a reduction in the interest rate.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interest expense decreased $0.8 million or 5.7% compared to the same period ended June 30, 2025. This decrease was primarily due to a reduction in the interest rate.</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executed an exchange agreement with certain holders of the 2028 Convertible Notes to enable settlement of the outstanding principle amount in cash. Execution of this exchange agreement resulted in recognition of an extinguishment loss of $30.8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primary uses of cash are to fund costs related to the manufacturing, marketing and selling of products, the research and development of our product candidates, general and administrative expenses and working capital requirements. Historically, we have funded our operations primarily through private placements of convertible preferred stock, public equity offerings of common stock, and the issuance of debt.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Financing Transactions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2022, we entered into an Open Market Sale Agreement with Jefferies LLC, as sales agent, dated May 11, 2022 ("Sales Agreement") for the offering, issuance and sale of up to a maximum aggregate offering price of $75.0 million of our common stock. The Sales Agreement will terminate upon the earlier of (i) the sale of all shares of common stock subject to the Sales Agreement and (ii) the termination of the Sales Agreement as permitted therein. Either party may each terminate the Sales Agreement at any time upon ten days’ prior notice. To date, we have not sold any shares pursuant to the Sales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we completed the exchange of $32.0 million in aggregate principal amount of our 5.00% Convertible Senior Note due 2025 ("2025 Convertible Notes") for $33.6 million in aggregate principal amount of our 8.00% Convertible Senior Note due 2028 ("2028 Convertible Notes").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March 2024, we entered into an Amended and Restated Credit Agreement and Guaranty (the "Amended and Restated Credit Agreement") with the lenders from time to time parties thereto (the "Lenders") and Hayfin Services LLP, as administrative agent for the New Lenders, pursuant to which we and our subsidiaries granted a first priority security interest on substantially all of our assets, including intellectual property, subject to certain exceptions. The Amended and Restated Credit Agreement provides for the Lenders to extend $200.0 million in term loans to the Company on the closing date and up to an additional $15.2 million in additional term loans, which additional term loans are available only to redeem the Company's then outstanding 2025 Convertible Notes.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March and April of 2025, holders of the 2025 Convertible Senior Notes converted the outstanding $15.2 million in aggregate principal amount of the notes into 4,978,152 shares of the Company's common stock. As of June 30, 2026, the outstanding balance of the 2028 Convertible Notes was $33.6 million.</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June 2026, we executed an exchange agreement with certain holders of the 2028 Convertible Notes to enable settlement of the outstanding principal amount in cash. Execution of this exchange agreement resulted in recognition of an extinguishment loss of $30.8 million, which represents the difference between the amortized cost of the 2028 Convertible Notes immediately prior to the exchange and their fair value of $53.7 million, which has been presented on the Condensed Consolidated Balance Sheet as a component of the current portion of long-term debt. This exchange resulted in a loss on extinguishment of debt of $30.8 million, recognized in other income (expense) on the condensed consolidated statements of operations and comprehensive loss.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outstanding aggregate principal amount of the 2028 Convertible Notes was $33.6 million. The remaining balance of unamortized debt issuance costs have been reflected as a direct reduction to the loan balance.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we completed the privately negotiated exchange transactions with certain holders of our 2028 Convertible Notes ("collectively, the "Exchanging Noteholders"), pursuant to which the Exchanging Noteholders exchanged approximately $23.0 million in aggregate principal amount of their 2028 Convertible Notes for an aggregate of approximately 5.0 million shares of our common stock and approximately $23.0 million in cash and, separately, a holder of approximately $10.5 million in principal amount of the 2028 Convertible Notes elected to convert its 2028 Convertible Notes into approximately 3.6 million shares of our common stock. Following the completion of the exchange transactions and the conversion, no 2028 Convertible Notes remain outstanding.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Capital Resources and Funding Requirements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accumulated deficit of $700.2 million at June 30, 2026. Based on our current operating plans and existing working capital at June 30, 2026, we believe that our cash resources are sufficient to sustain operations and capital expenditure requirements for at least the next twelve months. We may incur substantial additional expenditures in the near term to support the marketing and selling of Recorlev, Gvoke and Keveyis, as well as our ongoing research and development activities. We may incur net losses for at least the next twelve months. Our ability to fund the marketing and selling of Recorlev, Gvoke and Keveyis, as well as our product development and clinical operations, including completion of future clinical trials, will depend on the amount and timing of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received from product revenue and potential future financings. Our future capital requirements will depend on many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24"/>
        <w:gridCol w:w="2685"/>
        <w:gridCol w:w="3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our degree of success in commercializing Recorlev, Gvoke and Keveyis;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commercialization activities, including product marketing, sales and distribution;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costs, timing and outcomes of clinical trials and regulatory reviews associated with our product candidates;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effect on our product development activities of actions taken by the FDA or other regulatory authorities;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number and types of future products we develop and commercialize;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emergence of competing technologies and products and other adverse market developments;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costs of preparing, filing and prosecuting patent applications and maintaining, enforcing and defending intellectual property-related claims.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we continue the marketing and selling of Recorlev, Gvoke and Keveyis, we may not generate a sufficient amount of product revenue to fund our cash requirements. Accordingly, we may need to obtain additional financing in the future which may include public or private debt and/or equity financings. As detailed in the section titled "Financing" included in "Item 2 - Management's Discussion and Analysis of Financial Condition and Results of Operations" of Part I of this Quarterly Report, there can be no assurance that such funding may be available to us on acceptable terms, or at all, or that we will be able to successfully market and sell Recorlev, Gvoke and Keveyis.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06" w:type="dxa"/>
        <w:jc w:val="left"/>
        <w:tblInd w:w="0" w:type="dxa"/>
        <w:tblLayout w:type="fixed"/>
        <w:tblCellMar>
          <w:top w:w="28" w:type="dxa"/>
          <w:left w:w="28" w:type="dxa"/>
          <w:bottom w:w="28" w:type="dxa"/>
          <w:right w:w="28" w:type="dxa"/>
        </w:tblCellMar>
      </w:tblPr>
      <w:tblGrid>
        <w:gridCol w:w="1539"/>
        <w:gridCol w:w="1357"/>
        <w:gridCol w:w="1364"/>
        <w:gridCol w:w="211"/>
        <w:gridCol w:w="723"/>
        <w:gridCol w:w="109"/>
        <w:gridCol w:w="109"/>
        <w:gridCol w:w="109"/>
        <w:gridCol w:w="109"/>
        <w:gridCol w:w="211"/>
        <w:gridCol w:w="693"/>
        <w:gridCol w:w="109"/>
        <w:gridCol w:w="109"/>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i/>
                <w:color w:val="000000"/>
                <w:sz w:val="20"/>
              </w:rPr>
              <w:t xml:space="preserve">Cash Flows </w:t>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color w:val="000000"/>
                <w:sz w:val="20"/>
              </w:rPr>
              <w:t>in thousands</w:t>
            </w:r>
            <w:r>
              <w:rPr>
                <w:rFonts w:ascii="Times New Roman;serif" w:hAnsi="Times New Roman;serif"/>
                <w:b w:val="false"/>
                <w:color w:val="000000"/>
                <w:sz w:val="20"/>
              </w:rPr>
              <w:t>)</w:t>
            </w:r>
          </w:p>
        </w:tc>
        <w:tc>
          <w:tcPr>
            <w:tcW w:w="10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operating activities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120"/>
        <w:jc w:val="both"/>
        <w:rPr/>
      </w:pPr>
      <w:r>
        <w:rPr>
          <w:rFonts w:ascii="Times New Roman;serif" w:hAnsi="Times New Roman;serif"/>
          <w:b w:val="false"/>
          <w:color w:val="000000"/>
          <w:sz w:val="20"/>
        </w:rPr>
        <w:t xml:space="preserve">Net cash provided by operating activities was </w:t>
      </w:r>
      <w:r>
        <w:rPr>
          <w:rFonts w:ascii="Times New Roman;serif" w:hAnsi="Times New Roman;serif"/>
          <w:b w:val="false"/>
          <w:color w:val="000000"/>
          <w:sz w:val="20"/>
          <w:shd w:fill="FFFFFF" w:val="clear"/>
        </w:rPr>
        <w:t>$18.1 million</w:t>
      </w:r>
      <w:r>
        <w:rPr>
          <w:color w:val="000000"/>
        </w:rPr>
        <w:t xml:space="preserve"> </w:t>
      </w:r>
      <w:r>
        <w:rPr>
          <w:rFonts w:ascii="Times New Roman;serif" w:hAnsi="Times New Roman;serif"/>
          <w:b w:val="false"/>
          <w:color w:val="000000"/>
          <w:sz w:val="20"/>
        </w:rPr>
        <w:t>for the six months ended June 30, 2026, compared to $9.8 million used in operating activities for the six months ended June 30, 2025. The increase in net cash provided by operating activities was primarily driven by higher product sales. For a discussion regarding product revenue, net and increases in spending, refer to "Results of Operations" included in this "Item 2 - Management's Discussion and Analysis of Financial Condition and Results of Operations" of Part I of this Quarterly Report on Form 10-Q.</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120"/>
        <w:jc w:val="both"/>
        <w:rPr/>
      </w:pPr>
      <w:r>
        <w:rPr>
          <w:rFonts w:ascii="Times New Roman;serif" w:hAnsi="Times New Roman;serif"/>
          <w:b w:val="false"/>
          <w:color w:val="000000"/>
          <w:sz w:val="20"/>
        </w:rPr>
        <w:t xml:space="preserve">Net cash used in investing activities was </w:t>
      </w:r>
      <w:r>
        <w:rPr>
          <w:rFonts w:ascii="Times New Roman;serif" w:hAnsi="Times New Roman;serif"/>
          <w:b w:val="false"/>
          <w:color w:val="000000"/>
          <w:sz w:val="20"/>
          <w:shd w:fill="FFFFFF" w:val="clear"/>
        </w:rPr>
        <w:t>$534 thousand</w:t>
      </w:r>
      <w:r>
        <w:rPr>
          <w:color w:val="000000"/>
        </w:rPr>
        <w:t xml:space="preserve"> </w:t>
      </w:r>
      <w:r>
        <w:rPr>
          <w:rFonts w:ascii="Times New Roman;serif" w:hAnsi="Times New Roman;serif"/>
          <w:b w:val="false"/>
          <w:color w:val="000000"/>
          <w:sz w:val="20"/>
        </w:rPr>
        <w:t>for the six months ended June 30, 2026, compared to $292 thousand used in investing activities for the six months ended June 30, 2025. The increase in cash used by investing activities for the six months ended June 30, 2026 was due to higher capital expenditures.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120"/>
        <w:jc w:val="both"/>
        <w:rPr/>
      </w:pPr>
      <w:r>
        <w:rPr>
          <w:rFonts w:ascii="Times New Roman;serif" w:hAnsi="Times New Roman;serif"/>
          <w:b w:val="false"/>
          <w:color w:val="000000"/>
          <w:sz w:val="20"/>
        </w:rPr>
        <w:t xml:space="preserve">Net cash used in financing activities was </w:t>
      </w:r>
      <w:r>
        <w:rPr>
          <w:rFonts w:ascii="Times New Roman;serif" w:hAnsi="Times New Roman;serif"/>
          <w:b w:val="false"/>
          <w:color w:val="000000"/>
          <w:sz w:val="20"/>
          <w:shd w:fill="FFFFFF" w:val="clear"/>
        </w:rPr>
        <w:t>$6.9 million</w:t>
      </w:r>
      <w:r>
        <w:rPr>
          <w:color w:val="000000"/>
        </w:rPr>
        <w:t xml:space="preserve"> </w:t>
      </w:r>
      <w:r>
        <w:rPr>
          <w:rFonts w:ascii="Times New Roman;serif" w:hAnsi="Times New Roman;serif"/>
          <w:b w:val="false"/>
          <w:color w:val="000000"/>
          <w:sz w:val="20"/>
        </w:rPr>
        <w:t>for the six months ended June 30, 2026, compared to $2.2 million used in financing activities for the six months ended June 30, 2025. The net cash used in financing activities for the six months ended June 30, 2026 was primarily driven by repurchases of common stock withheld for taxes of $17.2 million, offset by proceeds from the exercise of stock awards, proceeds from issuance of shares under the employee stock purchase plan and proceeds from the issuance of shares of common stock upon settlement of warrants of $10.3 million. The net cash used in financing activities for the six months ended June 30, 2025 was driven by repurchases of common stock withheld for taxes of $8.9 million, offset by proceeds from the exercise of stock awards and proceeds from the issuance of shares of common stock under the employee stock purchase plan of $6.7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 AND ASSUMPTIONS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Annual Report on Form 10-K for the year ended December 31, 2025 describes the critical accounting policies for which management uses significant judgments and estimates in the preparation of our consolidated financial statements. There have been no significant changes to our critical accounting policies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 — Basis of presentation and summary of significant accounting policies and estimates</w:t>
      </w:r>
      <w:r>
        <w:rPr>
          <w:rFonts w:ascii="Times New Roman;serif" w:hAnsi="Times New Roman;serif"/>
          <w:b w:val="false"/>
          <w:color w:val="000000"/>
          <w:sz w:val="20"/>
        </w:rPr>
        <w:t>, for a description of recent accounting pronouncements applicable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certain market risks arising from transactions in the normal course of business, principally risk associated with interest rate and foreign currency exchange rate fluctuations.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120"/>
        <w:jc w:val="both"/>
        <w:rPr/>
      </w:pPr>
      <w:r>
        <w:rPr>
          <w:rFonts w:ascii="Times New Roman;serif" w:hAnsi="Times New Roman;serif"/>
          <w:b w:val="false"/>
          <w:i/>
          <w:color w:val="000000"/>
          <w:sz w:val="20"/>
        </w:rPr>
        <w:t>Cash, Cash Equivalents Restricted Cash and Investments</w:t>
      </w:r>
      <w:r>
        <w:rPr>
          <w:color w:val="000000"/>
        </w:rPr>
        <w:t>—</w:t>
      </w:r>
      <w:r>
        <w:rPr>
          <w:rFonts w:ascii="Times New Roman;serif" w:hAnsi="Times New Roman;serif"/>
          <w:b w:val="false"/>
          <w:color w:val="000000"/>
          <w:sz w:val="20"/>
        </w:rPr>
        <w:t>We are exposed to the risk of interest rate fluctuations on the interest income earned on our cash, cash equivalents, restricted cash and investments. A hypothetical one-percentage point increase or decrease in interest rates applicable to our cash, cash equivalents, restricted cash and investments outstanding at June 30, 2026 would increase or decrease interest income by approximately $1.3 million on an annual basis.</w:t>
      </w:r>
    </w:p>
    <w:p>
      <w:pPr>
        <w:pStyle w:val="TextBody"/>
        <w:bidi w:val="0"/>
        <w:spacing w:lineRule="auto" w:line="288" w:before="120" w:after="120"/>
        <w:jc w:val="both"/>
        <w:rPr/>
      </w:pPr>
      <w:r>
        <w:rPr>
          <w:rFonts w:ascii="Times New Roman;serif" w:hAnsi="Times New Roman;serif"/>
          <w:b w:val="false"/>
          <w:i/>
          <w:color w:val="000000"/>
          <w:sz w:val="20"/>
        </w:rPr>
        <w:t>Long-term Debt</w:t>
      </w:r>
      <w:r>
        <w:rPr>
          <w:color w:val="000000"/>
        </w:rPr>
        <w:t>—</w:t>
      </w:r>
      <w:r>
        <w:rPr>
          <w:rFonts w:ascii="Times New Roman;serif" w:hAnsi="Times New Roman;serif"/>
          <w:b w:val="false"/>
          <w:color w:val="000000"/>
          <w:sz w:val="20"/>
        </w:rPr>
        <w:t>Our interest rate risk relates primarily to the United States dollar SOFR-indexed borrowings. Based on our outstanding borrowings pursuant to the Amended and Restated Credit Agreement, interest is incurred at a floating per annum rate in an amount equal to the sum of (i) 6.95% (or 5.95% if the replacement rate is in effect) plus (ii) the greater of (x) the forward-looking term rate based on SOFR for a three month tenor (or the replacement rate, if applicable), and (y) 2.00% per annum. The remaining balance of unamortized debt issuance costs have been reflected as a direct reduction to the loan balance. Interest on the 2028 Convertible Notes is assessed at a fixed rate of 8.0% annually and therefore does not subject us to interest rate risk.</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contract with organizations outside the United States at times. We may be subject to fluctuations in foreign currency exchange rates in connection with certain of these agreements. Transactions denominated in currencies other than the functional currency are recorded based on exchange rates at the time such transactions arise. Net foreign currency gains and losses did not have a material effect on our results of operations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(principal executive officer) and chief financial officer (principal financial officer), evaluated the effectiveness of our disclosure controls and procedures, as such term is defined under Rules 13a-15(e) and 15d-15(e) promulgated under the Securities Exchange Act of 1934, as amended ("Exchange Act"). Based on such evaluation, our chief executive officer and chief financial officer have concluded that the disclosure controls and procedures were effective as of June 30, 2026 to ensure that information required to be disclosed by the Company in the reports it files or submits under the Exchange Act is recorded, processed, summarized and reported within the time period specified in the SEC rules and forms, and to ensure that information required to be disclosed by the Company in the reports it files or submits under the Exchange Act is accumulated and communicated to the Company's management, including its chief executive and chief financial officers, as appropriate, to allow timely decisions regarding required disclosure.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identified in connection with the evaluation required by Rule 13a-15(d) and 15d-15(d) of the Exchange Act that occurred during the three months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2026, March 20, 2026, June 4, 2026, and July 13, 2026, the Company’s wholly owned subsidiaries, Xeris Pharmaceuticals, Inc. and Strongbridge Dublin Limited, filed patent infringement lawsuits under the Hatch-Waxman Act in the United States District Court for the District of New Jersey against defendants (i) Torrent Pharmaceuticals Limited (along with its affiliate, “Torrent”) and Somerset Therapeutics, LLC (along with its affiliates, “Somerset”), (ii) Sandoz Inc. (“Sandoz”) and Zydus Lifesciences Global FZZE (along with its affiliates, “Zydus”), and (iii) Novitium Pharma, LLC (along with its affiliate, “Novitium”) in two separate actions, respectively (each, an “ANDA Filer”). These lawsuits were filed following receipt of a Paragraph IV certification notice letter (each, a “Notice Letter”) from each of Torrent, Somerset, Sandoz, Zydus, and Novitium regarding the filing of its respective Abbreviated New Drug Application (“ANDA”) with the U.S. Food and Drug Administration (“FDA”) seeking approval to manufacture, use, or sell a generic version of Recorlev®. The Notice Letters stated that each ANDA Filer’s ANDAs contained Paragraph IV certifications alleging that four of the Company’s Orange Book-listed patents covering Recorlev® (U.S. Patent Nos. 11,020,393, 11,278,547, 11,903,940 and 12,377,096) (collectively, the “Orange Book Patents), which are scheduled to expire in March 2040, are invalid, unenforceable and/or will not be infringed by each ANDA Filer’s manufacture, use, or sale of the generic product described in its respective ANDA submission.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Collectively, the complaints allege that, by filing ANDAs for their respective generic products, each of Torrent, Somerset, Sandoz, Zydus, and Novitium has infringed the Orange Book Patents for Recorlev®. The complaints seek an order preventing the FDA from granting final approval of the respective ANDAs before the expiration of the Orange Book Patents and a permanent injunction to prevent each of the defendants from commercializing a generic version of Recorlev®, until the expiration of the Orange Book Patents, including any applicable extensions and additional periods of exclusivity. On June 8, 2026, the United States District Court for the District of New Jersey entered an order consolidating for all pretrial purposes the actions filed on February 26, 2026 against Somerset and Torrent and the action filed on March 20, 2026 against Sandoz and Zydus (“Consolidated Action”). On July 20, 2026, the United States District Court for the District of New Jersey entered an order consolidating for all pretrial purposes the actions against Novitium filed on June 4, 2026 and July 13, 2026 into the Consolidated Action. A bench trial has been tentatively scheduled for November 2028. The filing of each lawsuit within 45 days of receipt of each of the respective Notice Letters triggered an automatic stay of the FDA’s approval of each of the respective ANDAs in accordance with the Hatch-Waxman Act until up to June 30, 2029, in the absence of a decision from the court finding all asserted claims invalid or not infringed before that date.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receive additional Notice Letters in the future from ANDA filers seeking approval of a generic version of Recorlev and may file additional ANDA lawsuits in the future.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involved in various other legal proceedings arising in the normal course of business. Although the outcomes of these other legal proceedings are inherently difficult to predict, we do not expect the resolution of these other legal proceedings to have a material adverse effect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information set forth in this report, you should carefully consider the risks discussed under the heading "Risk Factors" in our Annual Report on Form 10-K for the year ended December 31, 2025 and subsequent filings with the SEC, which could have a material adverse effect on our business or consolidated financial statements, results of operations, and cash flows. Additional risks not currently known, or risks that are currently believed to be not material, may also impair business operations. There have been no material changes to our risk factors since the filing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 Recent Sales of Unregistered Securities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(b) Use of Proceeds from Initial Public Offering</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Rule 10b5-1 Trading Plan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May 12, 2026, Beth Hecht, Chief Legal Officer and Corporate Secretary of the Company, adopted a Rule 10b5-1 trading arrangement providing for the sale from time to time of an aggregate of up to 300,000 shares of the Company's common stock. The trading arrangement is intended to satisfy the affirmative defense conditions of Rule 10b5-1(c). The duration of the trading arrangement is until October 31, 2027, subject to the earlier termination as provided in the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described above, during the quarter ended June 30, 2026, none of the Company's other directors or officers (as defined in Rule 16a-1(f)) adopted, materially modified, or terminated any contract, instruction, or written plan for the purchase or sale of Company securities under a “Rule 10b5-1 trading arrangement” or any “non-Rule 10b5-1 trading arrangement,” as each term is defined in Item 408(c) of Regulation S-K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4399c21b58040b88192f44e3dd21cd2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exhibits filed as part of this Quarterly Report on Form 10-Q are set forth on the Index to Exhibits,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2"/>
        <w:gridCol w:w="274"/>
        <w:gridCol w:w="277"/>
        <w:gridCol w:w="109"/>
        <w:gridCol w:w="109"/>
        <w:gridCol w:w="109"/>
        <w:gridCol w:w="2708"/>
        <w:gridCol w:w="2608"/>
        <w:gridCol w:w="3699"/>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8-K12B (File No. 001-40880) filed with the Securities and Exchange Commission on October 5, 2021)</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8-K12B (File No. 001-40880) filed with the Securities and Exchange Commission on October 5, 2021)</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on-employeedirectorcomp.htm">
              <w:r>
                <w:rPr>
                  <w:rStyle w:val="InternetLink"/>
                  <w:rFonts w:ascii="Times New Roman;serif" w:hAnsi="Times New Roman;serif"/>
                  <w:b w:val="false"/>
                  <w:color w:val="0000FF"/>
                  <w:sz w:val="20"/>
                  <w:u w:val="single"/>
                </w:rPr>
                <w:t>Xeris Biopharma Holdings, Inc. Non-Employee Director Compensation Policy, (amended effective as of July 1, 2026)</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rtificationof.htm">
              <w:r>
                <w:rPr>
                  <w:rStyle w:val="InternetLink"/>
                  <w:rFonts w:ascii="Times New Roman;serif" w:hAnsi="Times New Roman;serif"/>
                  <w:b w:val="false"/>
                  <w:color w:val="0000FF"/>
                  <w:sz w:val="20"/>
                  <w:u w:val="single"/>
                </w:rPr>
                <w:t>Certification of Principal Executive Officer pursuant to Rule 13a-14(a) of the Securities Exchange Act of 1934, as amended</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ertificationof.htm">
              <w:r>
                <w:rPr>
                  <w:rStyle w:val="InternetLink"/>
                  <w:rFonts w:ascii="Times New Roman;serif" w:hAnsi="Times New Roman;serif"/>
                  <w:b w:val="false"/>
                  <w:color w:val="0000FF"/>
                  <w:sz w:val="20"/>
                  <w:u w:val="single"/>
                </w:rPr>
                <w:t>Certification of Principal Financial Officer pursuant to Rule 13a-14(a) of the Securities Exchange Act of 1934, as amended</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rtificationso.htm">
              <w:r>
                <w:rPr>
                  <w:rStyle w:val="InternetLink"/>
                  <w:rFonts w:ascii="Times New Roman;serif" w:hAnsi="Times New Roman;serif"/>
                  <w:b w:val="false"/>
                  <w:color w:val="0000FF"/>
                  <w:sz w:val="20"/>
                  <w:u w:val="single"/>
                </w:rPr>
                <w:t>Certifications of Principal Executive and Financial Officers pursuant to 18 U.S.C. Section 1350, as adopted pursuant to Section 906 of the Sarbanes-Oxley Act of 2002</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pStyle w:val="TextBody"/>
        <w:bidi w:val="0"/>
        <w:spacing w:lineRule="auto" w:line="268" w:before="0" w:after="0"/>
        <w:ind w:left="0" w:right="0" w:hanging="180"/>
        <w:jc w:val="left"/>
        <w:rPr/>
      </w:pPr>
      <w:r>
        <w:rPr>
          <w:rFonts w:ascii="Times New Roman;serif" w:hAnsi="Times New Roman;serif"/>
          <w:b w:val="false"/>
          <w:color w:val="000000"/>
          <w:sz w:val="20"/>
        </w:rPr>
        <w:t>* Filed herewith.</w:t>
      </w:r>
      <w:r>
        <w:rPr>
          <w:color w:val="000000"/>
        </w:rPr>
        <w:t xml:space="preserve"> </w:t>
      </w:r>
      <w:r>
        <w:rPr>
          <w:rFonts w:ascii="Times New Roman;serif" w:hAnsi="Times New Roman;serif"/>
          <w:b w:val="false"/>
          <w:color w:val="000000"/>
          <w:sz w:val="20"/>
        </w:rPr>
        <w:t>All other exhibits listed have previously been filed with the SEC and are incorporated herein by reference.</w:t>
      </w:r>
    </w:p>
    <w:p>
      <w:pPr>
        <w:pStyle w:val="TextBody"/>
        <w:bidi w:val="0"/>
        <w:spacing w:lineRule="auto" w:line="288" w:before="12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The certification furnished in Exhibit 32.1 hereto are deemed to accompany this report and will not be deemed "filed" for purposes of Section 18 of the Securities Exchange Act of 1934, as amended. Such certifications will not be deemed to be incorporated by reference into any filings under the Securities Act of 1933, as amended, or the Securities Act of 1934, as amended, except to the extent that the Registrant specifically incorporates it by reference.</w:t>
      </w:r>
    </w:p>
    <w:p>
      <w:pPr>
        <w:pStyle w:val="TextBody"/>
        <w:bidi w:val="0"/>
        <w:spacing w:lineRule="auto" w:line="288" w:before="12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Indicates a management contract or any compensatory plan, contract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695"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440"/>
        <w:gridCol w:w="440"/>
        <w:gridCol w:w="440"/>
        <w:gridCol w:w="1496"/>
        <w:gridCol w:w="1496"/>
        <w:gridCol w:w="21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Xeris Biopharma Holdings,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Shannon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Shannon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M. Pieper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center"/>
        <w:rPr/>
      </w:pPr>
      <w:r>
        <w:rPr/>
      </w:r>
    </w:p>
    <w:p>
      <w:pPr>
        <w:pStyle w:val="TextBody"/>
        <w:bidi w:val="0"/>
        <w:spacing w:before="0" w:after="0"/>
        <w:jc w:val="center"/>
        <w:rPr/>
      </w:pPr>
      <w:bookmarkStart w:id="1" w:name="non-employeedirectorcomp.htm"/>
      <w:bookmarkStart w:id="2" w:name="ksnonemployeedirectorcomp"/>
      <w:bookmarkEnd w:id="1"/>
      <w:bookmarkEnd w:id="2"/>
      <w:r>
        <w:rPr/>
        <w:drawing>
          <wp:inline distT="0" distB="0" distL="0" distR="0">
            <wp:extent cx="10048875" cy="13001625"/>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jc w:val="center"/>
        <w:rPr>
          <w:color w:val="FFFFFF"/>
          <w:sz w:val="2"/>
        </w:rPr>
      </w:pPr>
      <w:r>
        <w:rPr>
          <w:color w:val="FFFFFF"/>
          <w:sz w:val="2"/>
        </w:rPr>
        <w:t xml:space="preserve">1 XERIS BIOPHARMA HOLDINGS, INC. AMENDED AND RESTATED NON-EMPLOYEE DIRECTOR COMPENSATION POLICY The Board of Directors (the “Board”) of Xeris Biopharma Holdings, Inc. (the “Company”) has adopted this Amended and Restated Non-Employee Director Compensation Policy (as may be amended, restated or otherwise modified from time to time, this “Policy”), which establishes compensation to be paid to non-employee directors of the Company, to provide an inducement to obtain and retain the services of qualified persons to serve as members of the Company’s Board. Applicable Persons This Policy shall apply to each director of the Company’s Board who is not an employee of the Company or any of its subsidiaries. Cash Retainers Annual Retainer for Board Membership: $50,000 for general availability and participation in meetings and conference calls of our Board, to be paid quarterly in arrears, pro- rated based on the number of actual days served by the director during such calendar quarter. Additional Annual Retainer for Non-Executive Chair of the Board: $45,000 Additional Annual Retainer for Lead Independent Director of the Board: $45,000 Additional Retainers for Committee Membership: Audit Committee Chair: $20,000 Audit Committee member: $10,000 Compensation Committee Chair: $20,000 Compensation Committee member: $10,000 Nominating and Corporate Governance Committee Chair: $10,000 Nominating and Corporate Governance Committee member: $5,000 Note: Chair and commit tee member retainers are in addition to retainers for members of the Board. Equity Retainers Initial Award: Initial, one-time equity awards consisting of a non-qualified stock option to purchase a number of shares of the Company’s common stock and a restricted stock unit for a number of shares of common stock having a combined aggregate grant date fair value of approximately $450,000 shall be made to each new non-employee director upon his or her election to the Board (the “Initial Award”). The Initial Award shall be made in the form of (i) 50% restricted stock units,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determined based on the average closing price of the Company’s common stock on the Nasdaq Global Select Market (or the stock exchange on which the Company’s common stock is being actively traded) for the 30 days preceding the date of grant, as may be adjusted by the Board, rounded down to the nearest whole share, and (ii) 50% non-qualified stock options to purchase shares of the Company’s common stock, valued based on a Black-Scholes valuation method, with an exercise price equal to the fair market value of the Company’s common stock as determined on the date of grant. The Initial Award shall vest in three equal installments on the first three anniversaries of the date of grant, subject to the non-employee director’s continued service on the Board. Annual Award: On each date of the Company’s Annual Meeting of Stockholders following the completion of the Company’s (the “Annual Meeting”), each continuing non-employee member of the Board, other than a director receiving an Initial Award, shall receive equity awards consisting of a non-qualified stock option to purchase a number of shares of Common Stock and a restricted stock unit for a number of shares of Common Stock having a combined aggregate grant date fair value of approximately $300,000 (“Annual Award”). The Annual Award shall be made in the form of (i) 50% restricted stock units, determined based on the average closing price of the Company’s common stock on the Nasdaq Global Select Market (or the stock exchange on which the Company’s common stock is being actively traded) for the 30 days preceding the date of grant, as may be adjusted by the Board, rounded down to the nearest whole share, and (ii) 50% non-qualified stock options to purchase shares of the Company’s common stock, valued based on a Black-Scholes valuation method, with an exercise price equal to the fair market value of the Company’s common stock as determined on the date of grant. The Annual Award shall vest upon the earlier to occur of the first anniversary of the date of grant or the date of the next Annual Meeting, subject to the non-employee director’s continued service on the Board, unless the Board determines that the circumstances warrant continuation of vesting. Sale Event Acceleration: All outstanding equity awards held by non-employee directors shall become fully vested and exercisable or nonforfeitable upon a Sale Event (as defined in the Company’s 2018 Stock Option and Incentive Plan or any other equity incentive plan under which the award is granted). Expenses The Company will reimburse all reasonable out-of-pocket expenses incurred by non- employee directors in attending meetings of the Board or any committee. Adopted April 25, 2018 and amended effective January 1, 2022, August 9, 2022, January 1, 2023, January 1, 2024, August 1, 2024, January 1, 2025, January 1, 2026, and July 1,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Exhibit 31.1</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CERTIFICATION PURSUANT TO RULE 13a-14(a) OR 15d-14(a) OF</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SECURITIES EXCHANGE ACT OF 1934,</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AS ADOPTED PURSUANT TO SECTION 302 OF</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 John Shannon, certify that: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1. I have reviewed this quarterly report on Form 10-Q of Xeris Biopharma Holdings, Inc.;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hanging="900"/>
        <w:jc w:val="left"/>
        <w:rPr>
          <w:rFonts w:ascii="Times New Roman;serif" w:hAnsi="Times New Roman;serif"/>
          <w:b w:val="false"/>
          <w:color w:val="000000"/>
          <w:sz w:val="19"/>
        </w:rPr>
      </w:pPr>
      <w:r>
        <w:rPr>
          <w:rFonts w:ascii="Times New Roman;serif" w:hAnsi="Times New Roman;serif"/>
          <w:b w:val="false"/>
          <w:color w:val="000000"/>
          <w:sz w:val="19"/>
        </w:rPr>
        <w:t>Date: August 6, 2026</w:t>
      </w:r>
    </w:p>
    <w:p>
      <w:pPr>
        <w:pStyle w:val="TextBody"/>
        <w:bidi w:val="0"/>
        <w:spacing w:lineRule="auto" w:line="288" w:before="0" w:after="0"/>
        <w:ind w:left="0" w:right="0" w:hanging="360"/>
        <w:jc w:val="right"/>
        <w:rPr>
          <w:color w:val="000000"/>
        </w:rPr>
      </w:pPr>
      <w:r>
        <w:rPr>
          <w:color w:val="000000"/>
        </w:rPr>
        <w:t>                    </w:t>
      </w:r>
    </w:p>
    <w:tbl>
      <w:tblPr>
        <w:tblW w:w="4721" w:type="dxa"/>
        <w:jc w:val="left"/>
        <w:tblInd w:w="0" w:type="dxa"/>
        <w:tblLayout w:type="fixed"/>
        <w:tblCellMar>
          <w:top w:w="28" w:type="dxa"/>
          <w:left w:w="28" w:type="dxa"/>
          <w:bottom w:w="28" w:type="dxa"/>
          <w:right w:w="28" w:type="dxa"/>
        </w:tblCellMar>
      </w:tblPr>
      <w:tblGrid>
        <w:gridCol w:w="151"/>
        <w:gridCol w:w="134"/>
        <w:gridCol w:w="135"/>
        <w:gridCol w:w="977"/>
        <w:gridCol w:w="977"/>
        <w:gridCol w:w="981"/>
        <w:gridCol w:w="213"/>
        <w:gridCol w:w="213"/>
        <w:gridCol w:w="213"/>
        <w:gridCol w:w="213"/>
        <w:gridCol w:w="213"/>
        <w:gridCol w:w="30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By:</w:t>
            </w:r>
          </w:p>
        </w:tc>
        <w:tc>
          <w:tcPr>
            <w:tcW w:w="2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John Shannon</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John Shannon</w:t>
            </w:r>
          </w:p>
        </w:tc>
        <w:tc>
          <w:tcPr>
            <w:tcW w:w="6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Executive Officer and Chairman of the Board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Exhibit 31.2</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CERTIFICATION PURSUANT TO RULE 13a-14(a) OR 15d-14(a) OF</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SECURITIES EXCHANGE ACT OF 1934,</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AS ADOPTED PURSUANT TO SECTION 302 OF</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 Steven M. Pieper, certify that: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1. I have reviewed this quarterly report on Form 10-Q of Xeris Biopharma Holdings, Inc.;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Date: August 6, 2026                    </w:t>
      </w:r>
    </w:p>
    <w:tbl>
      <w:tblPr>
        <w:tblW w:w="5562" w:type="dxa"/>
        <w:jc w:val="left"/>
        <w:tblInd w:w="0" w:type="dxa"/>
        <w:tblLayout w:type="fixed"/>
        <w:tblCellMar>
          <w:top w:w="28" w:type="dxa"/>
          <w:left w:w="28" w:type="dxa"/>
          <w:bottom w:w="28" w:type="dxa"/>
          <w:right w:w="28" w:type="dxa"/>
        </w:tblCellMar>
      </w:tblPr>
      <w:tblGrid>
        <w:gridCol w:w="151"/>
        <w:gridCol w:w="134"/>
        <w:gridCol w:w="135"/>
        <w:gridCol w:w="1408"/>
        <w:gridCol w:w="1408"/>
        <w:gridCol w:w="1415"/>
        <w:gridCol w:w="267"/>
        <w:gridCol w:w="267"/>
        <w:gridCol w:w="37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By:</w:t>
            </w:r>
          </w:p>
        </w:tc>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Steven M. Pieper</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Steven M. Pieper</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pPr>
      <w:r>
        <w:rPr>
          <w:color w:val="000000"/>
        </w:rPr>
        <w:t>                                                </w:t>
      </w:r>
      <w:r>
        <w:rPr>
          <w:rFonts w:ascii="Times New Roman;serif" w:hAnsi="Times New Roman;serif"/>
          <w:b/>
          <w:color w:val="000000"/>
          <w:sz w:val="19"/>
        </w:rPr>
        <w:t>Exhibit 32.1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PURSUANT TO 18 U.S.C. SECTION 1350,</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John Shannon and Steven M. Pieper, of Xeris Biopharma Holdings, Inc., certify, pursuant to 18 U.S.C. § 1350, as adopted pursuant to § 906 of the Sarbanes-Oxley Act of 2002, to the best of our knowledge, that:</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for the quarter ended June 30, 2026 (Periodic Report) to which this statement is an exhibit fully complies with the requirements of Section 13(a) or 15(d) of the Securities Exchange Act of 1934, and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Information contained in the Periodic Report fairly presents, in all material aspects, the financial condition and results of operations of Xeris Biopharma Holdings, Inc.</w:t>
      </w:r>
    </w:p>
    <w:p>
      <w:pPr>
        <w:pStyle w:val="TextBody"/>
        <w:bidi w:val="0"/>
        <w:spacing w:before="0" w:after="0"/>
        <w:ind w:left="0" w:right="0" w:hanging="72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5050"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1148"/>
        <w:gridCol w:w="1148"/>
        <w:gridCol w:w="1153"/>
        <w:gridCol w:w="250"/>
        <w:gridCol w:w="250"/>
        <w:gridCol w:w="3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Shannon</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Shannon</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before="0" w:after="0"/>
        <w:jc w:val="right"/>
        <w:rPr/>
      </w:pPr>
      <w:r>
        <w:rPr/>
      </w:r>
    </w:p>
    <w:tbl>
      <w:tblPr>
        <w:tblW w:w="3160"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661"/>
        <w:gridCol w:w="661"/>
        <w:gridCol w:w="664"/>
        <w:gridCol w:w="125"/>
        <w:gridCol w:w="125"/>
        <w:gridCol w:w="17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M. Pieper</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333"/>
        <w:jc w:val="righ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96/000119312521292100/d208027dex31.htm" TargetMode="External"/><Relationship Id="rId3" Type="http://schemas.openxmlformats.org/officeDocument/2006/relationships/hyperlink" Target="https://www.sec.gov/Archives/edgar/data/1867096/000119312521292100/d208027dex3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17064</Words>
  <Characters>94689</Characters>
  <CharactersWithSpaces>110777</CharactersWithSpaces>
  <Paragraphs>2097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non-employeedirectorcomp</dc:title>
</cp:coreProperties>
</file>